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58780" w14:textId="6625F340" w:rsidR="007B2C05" w:rsidRDefault="00A750FF" w:rsidP="00AC0196">
      <w:pPr>
        <w:jc w:val="right"/>
      </w:pPr>
      <w:r>
        <w:rPr>
          <w:rFonts w:ascii="Lato" w:hAnsi="Lato"/>
          <w:b/>
          <w:noProof/>
          <w:color w:val="575756"/>
          <w:sz w:val="36"/>
        </w:rPr>
        <w:drawing>
          <wp:anchor distT="0" distB="0" distL="114300" distR="114300" simplePos="0" relativeHeight="251658240" behindDoc="0" locked="0" layoutInCell="1" allowOverlap="1" wp14:anchorId="29B64AA7" wp14:editId="10C9C202">
            <wp:simplePos x="0" y="0"/>
            <wp:positionH relativeFrom="column">
              <wp:posOffset>1457325</wp:posOffset>
            </wp:positionH>
            <wp:positionV relativeFrom="paragraph">
              <wp:posOffset>9525</wp:posOffset>
            </wp:positionV>
            <wp:extent cx="3028950" cy="95250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AF452" w14:textId="77777777" w:rsidR="00AC0196" w:rsidRDefault="00AC0196" w:rsidP="00AC0196">
      <w:pPr>
        <w:jc w:val="center"/>
        <w:rPr>
          <w:rFonts w:cs="Calibri"/>
          <w:b/>
          <w:sz w:val="24"/>
          <w:szCs w:val="24"/>
          <w:u w:val="single"/>
        </w:rPr>
      </w:pPr>
    </w:p>
    <w:p w14:paraId="3FC9B389" w14:textId="77777777" w:rsidR="00B94A3C" w:rsidRDefault="00B94A3C" w:rsidP="00E154F5">
      <w:pPr>
        <w:jc w:val="center"/>
        <w:rPr>
          <w:rFonts w:ascii="Lato" w:hAnsi="Lato" w:cs="Calibri"/>
          <w:b/>
          <w:u w:val="single"/>
        </w:rPr>
      </w:pPr>
    </w:p>
    <w:p w14:paraId="7385B8FE" w14:textId="77777777" w:rsidR="00B94A3C" w:rsidRDefault="00B94A3C" w:rsidP="00E154F5">
      <w:pPr>
        <w:jc w:val="center"/>
        <w:rPr>
          <w:rFonts w:ascii="Lato" w:hAnsi="Lato" w:cs="Calibri"/>
          <w:b/>
          <w:u w:val="single"/>
        </w:rPr>
      </w:pPr>
    </w:p>
    <w:p w14:paraId="16B0DECB" w14:textId="62233032" w:rsidR="00AC0196" w:rsidRPr="00E154F5" w:rsidRDefault="00AC0196" w:rsidP="00E154F5">
      <w:pPr>
        <w:jc w:val="center"/>
        <w:rPr>
          <w:rFonts w:ascii="Lato" w:hAnsi="Lato" w:cs="Calibri"/>
          <w:b/>
          <w:u w:val="single"/>
        </w:rPr>
      </w:pPr>
      <w:r w:rsidRPr="00E154F5">
        <w:rPr>
          <w:rFonts w:ascii="Lato" w:hAnsi="Lato" w:cs="Calibri"/>
          <w:b/>
          <w:u w:val="single"/>
        </w:rPr>
        <w:t xml:space="preserve">Local Lettings Policy </w:t>
      </w:r>
      <w:r w:rsidR="00355124" w:rsidRPr="00E154F5">
        <w:rPr>
          <w:rFonts w:ascii="Lato" w:hAnsi="Lato" w:cs="Calibri"/>
          <w:b/>
          <w:u w:val="single"/>
        </w:rPr>
        <w:t>–</w:t>
      </w:r>
      <w:r w:rsidRPr="00E154F5">
        <w:rPr>
          <w:rFonts w:ascii="Lato" w:hAnsi="Lato" w:cs="Calibri"/>
          <w:b/>
          <w:u w:val="single"/>
        </w:rPr>
        <w:t xml:space="preserve"> </w:t>
      </w:r>
      <w:r w:rsidR="00355124" w:rsidRPr="00E154F5">
        <w:rPr>
          <w:rFonts w:ascii="Lato" w:hAnsi="Lato" w:cs="Calibri"/>
          <w:b/>
          <w:u w:val="single"/>
        </w:rPr>
        <w:t>Dinas Lane</w:t>
      </w:r>
    </w:p>
    <w:p w14:paraId="1A5FC5D3" w14:textId="77777777" w:rsidR="00AC0196" w:rsidRPr="00E154F5" w:rsidRDefault="00AC0196" w:rsidP="00AC0196">
      <w:pPr>
        <w:numPr>
          <w:ilvl w:val="0"/>
          <w:numId w:val="2"/>
        </w:numPr>
        <w:spacing w:after="0" w:line="240" w:lineRule="auto"/>
        <w:ind w:hanging="360"/>
        <w:jc w:val="both"/>
        <w:rPr>
          <w:rFonts w:ascii="Lato" w:hAnsi="Lato" w:cs="Calibri"/>
          <w:b/>
        </w:rPr>
      </w:pPr>
      <w:r w:rsidRPr="00E154F5">
        <w:rPr>
          <w:rFonts w:ascii="Lato" w:hAnsi="Lato" w:cs="Calibri"/>
          <w:b/>
        </w:rPr>
        <w:t>Introduction</w:t>
      </w:r>
    </w:p>
    <w:p w14:paraId="595D1B45" w14:textId="77777777" w:rsidR="00355124" w:rsidRPr="00E154F5" w:rsidRDefault="00355124" w:rsidP="00AC0196">
      <w:pPr>
        <w:jc w:val="both"/>
        <w:rPr>
          <w:rFonts w:ascii="Lato" w:hAnsi="Lato" w:cs="Calibri"/>
          <w:b/>
        </w:rPr>
      </w:pPr>
    </w:p>
    <w:p w14:paraId="007E1F57" w14:textId="7AFCC7B3" w:rsidR="00AC0196" w:rsidRPr="00E154F5" w:rsidRDefault="00355124" w:rsidP="00AC0196">
      <w:pPr>
        <w:jc w:val="both"/>
        <w:rPr>
          <w:rFonts w:ascii="Lato" w:hAnsi="Lato" w:cs="Calibri"/>
          <w:b/>
          <w:bCs/>
        </w:rPr>
      </w:pPr>
      <w:r w:rsidRPr="00E154F5">
        <w:rPr>
          <w:rFonts w:ascii="Lato" w:hAnsi="Lato" w:cs="Calibri"/>
        </w:rPr>
        <w:t>T</w:t>
      </w:r>
      <w:r w:rsidR="00AC0196" w:rsidRPr="00E154F5">
        <w:rPr>
          <w:rFonts w:ascii="Lato" w:hAnsi="Lato" w:cs="Calibri"/>
        </w:rPr>
        <w:t xml:space="preserve">his “Local Lettings Policy” (LLP) has been written to cover the allocations of Prima Group properties for rent on a new build development at </w:t>
      </w:r>
      <w:r w:rsidRPr="00E154F5">
        <w:rPr>
          <w:rFonts w:ascii="Lato" w:hAnsi="Lato" w:cs="Calibri"/>
        </w:rPr>
        <w:t>Dinas</w:t>
      </w:r>
      <w:r w:rsidR="00403139" w:rsidRPr="00E154F5">
        <w:rPr>
          <w:rFonts w:ascii="Lato" w:hAnsi="Lato" w:cs="Calibri"/>
        </w:rPr>
        <w:t xml:space="preserve"> Lane</w:t>
      </w:r>
      <w:r w:rsidR="004054DF" w:rsidRPr="00E154F5">
        <w:rPr>
          <w:rFonts w:ascii="Lato" w:hAnsi="Lato" w:cs="Calibri"/>
        </w:rPr>
        <w:t xml:space="preserve">. </w:t>
      </w:r>
      <w:r w:rsidR="00AC0196" w:rsidRPr="00E154F5">
        <w:rPr>
          <w:rFonts w:ascii="Lato" w:hAnsi="Lato" w:cs="Calibri"/>
        </w:rPr>
        <w:t xml:space="preserve">This development is located within the </w:t>
      </w:r>
      <w:r w:rsidR="00691EFA" w:rsidRPr="00E154F5">
        <w:rPr>
          <w:rFonts w:ascii="Lato" w:hAnsi="Lato" w:cs="Calibri"/>
        </w:rPr>
        <w:t>Huyton</w:t>
      </w:r>
      <w:r w:rsidR="004D04F0" w:rsidRPr="00E154F5">
        <w:rPr>
          <w:rFonts w:ascii="Lato" w:hAnsi="Lato" w:cs="Calibri"/>
        </w:rPr>
        <w:t xml:space="preserve"> </w:t>
      </w:r>
      <w:r w:rsidR="00AC0196" w:rsidRPr="00E154F5">
        <w:rPr>
          <w:rFonts w:ascii="Lato" w:hAnsi="Lato" w:cs="Calibri"/>
        </w:rPr>
        <w:t>Ward of Knowsley Metropolitan Borough Council</w:t>
      </w:r>
      <w:r w:rsidR="00AC0196" w:rsidRPr="00CC03B4">
        <w:rPr>
          <w:rFonts w:ascii="Lato" w:hAnsi="Lato" w:cs="Calibri"/>
        </w:rPr>
        <w:t xml:space="preserve">. The development consists of </w:t>
      </w:r>
      <w:r w:rsidR="0057122D" w:rsidRPr="00CC03B4">
        <w:rPr>
          <w:rFonts w:ascii="Lato" w:hAnsi="Lato" w:cs="Calibri"/>
        </w:rPr>
        <w:t>11</w:t>
      </w:r>
      <w:r w:rsidR="00AC0196" w:rsidRPr="00CC03B4">
        <w:rPr>
          <w:rFonts w:ascii="Lato" w:hAnsi="Lato" w:cs="Calibri"/>
        </w:rPr>
        <w:t xml:space="preserve"> properties, comprising of </w:t>
      </w:r>
      <w:r w:rsidR="00CC03B4" w:rsidRPr="00CC03B4">
        <w:rPr>
          <w:rFonts w:ascii="Lato" w:hAnsi="Lato" w:cs="Calibri"/>
        </w:rPr>
        <w:t>5</w:t>
      </w:r>
      <w:r w:rsidR="00AC0196" w:rsidRPr="00CC03B4">
        <w:rPr>
          <w:rFonts w:ascii="Lato" w:hAnsi="Lato" w:cs="Calibri"/>
        </w:rPr>
        <w:t xml:space="preserve"> x </w:t>
      </w:r>
      <w:r w:rsidR="00CC03B4" w:rsidRPr="00CC03B4">
        <w:rPr>
          <w:rFonts w:ascii="Lato" w:hAnsi="Lato" w:cs="Calibri"/>
        </w:rPr>
        <w:t>1-bedroom</w:t>
      </w:r>
      <w:r w:rsidR="00AC0196" w:rsidRPr="00CC03B4">
        <w:rPr>
          <w:rFonts w:ascii="Lato" w:hAnsi="Lato" w:cs="Calibri"/>
        </w:rPr>
        <w:t xml:space="preserve"> flats and </w:t>
      </w:r>
      <w:r w:rsidR="00CC03B4" w:rsidRPr="00CC03B4">
        <w:rPr>
          <w:rFonts w:ascii="Lato" w:hAnsi="Lato" w:cs="Calibri"/>
        </w:rPr>
        <w:t>6</w:t>
      </w:r>
      <w:r w:rsidR="00AC0196" w:rsidRPr="00CC03B4">
        <w:rPr>
          <w:rFonts w:ascii="Lato" w:hAnsi="Lato" w:cs="Calibri"/>
        </w:rPr>
        <w:t xml:space="preserve"> x </w:t>
      </w:r>
      <w:r w:rsidR="00CC03B4" w:rsidRPr="00CC03B4">
        <w:rPr>
          <w:rFonts w:ascii="Lato" w:hAnsi="Lato" w:cs="Calibri"/>
        </w:rPr>
        <w:t>2-bedroom</w:t>
      </w:r>
      <w:r w:rsidR="00AC0196" w:rsidRPr="00CC03B4">
        <w:rPr>
          <w:rFonts w:ascii="Lato" w:hAnsi="Lato" w:cs="Calibri"/>
        </w:rPr>
        <w:t xml:space="preserve"> flats. All (100%) of the properties will be offered for </w:t>
      </w:r>
      <w:r w:rsidR="00CC03B4" w:rsidRPr="00CC03B4">
        <w:rPr>
          <w:rFonts w:ascii="Lato" w:hAnsi="Lato" w:cs="Calibri"/>
        </w:rPr>
        <w:t>affordable</w:t>
      </w:r>
      <w:r w:rsidR="00AC0196" w:rsidRPr="00CC03B4">
        <w:rPr>
          <w:rFonts w:ascii="Lato" w:hAnsi="Lato" w:cs="Calibri"/>
        </w:rPr>
        <w:t xml:space="preserve"> rent.</w:t>
      </w:r>
      <w:r w:rsidR="00AC0196" w:rsidRPr="00E154F5">
        <w:rPr>
          <w:rFonts w:ascii="Lato" w:hAnsi="Lato" w:cs="Calibri"/>
        </w:rPr>
        <w:t xml:space="preserve"> </w:t>
      </w:r>
    </w:p>
    <w:p w14:paraId="65CB7E06" w14:textId="5E6461B8" w:rsidR="00AC0196" w:rsidRPr="00E154F5" w:rsidRDefault="00AC0196" w:rsidP="00AC0196">
      <w:pPr>
        <w:jc w:val="both"/>
        <w:rPr>
          <w:rFonts w:ascii="Lato" w:hAnsi="Lato" w:cs="Calibri"/>
        </w:rPr>
      </w:pPr>
      <w:r w:rsidRPr="00E154F5">
        <w:rPr>
          <w:rFonts w:ascii="Lato" w:hAnsi="Lato" w:cs="Calibri"/>
        </w:rPr>
        <w:t>The LLP will run for the first phase of lets per property</w:t>
      </w:r>
      <w:r w:rsidR="004054DF" w:rsidRPr="00E154F5">
        <w:rPr>
          <w:rFonts w:ascii="Lato" w:hAnsi="Lato" w:cs="Calibri"/>
        </w:rPr>
        <w:t xml:space="preserve">. </w:t>
      </w:r>
      <w:r w:rsidRPr="00E154F5">
        <w:rPr>
          <w:rFonts w:ascii="Lato" w:hAnsi="Lato" w:cs="Calibri"/>
        </w:rPr>
        <w:t xml:space="preserve">Following the first round of lets, </w:t>
      </w:r>
      <w:r w:rsidR="00005D3C" w:rsidRPr="00E154F5">
        <w:rPr>
          <w:rFonts w:ascii="Lato" w:hAnsi="Lato" w:cs="Calibri"/>
        </w:rPr>
        <w:t xml:space="preserve">Prima </w:t>
      </w:r>
      <w:r w:rsidR="001B0F94" w:rsidRPr="00E154F5">
        <w:rPr>
          <w:rFonts w:ascii="Lato" w:hAnsi="Lato" w:cs="Calibri"/>
        </w:rPr>
        <w:t>Group</w:t>
      </w:r>
      <w:r w:rsidRPr="00E154F5">
        <w:rPr>
          <w:rFonts w:ascii="Lato" w:hAnsi="Lato" w:cs="Calibri"/>
        </w:rPr>
        <w:t xml:space="preserve"> will review this policy in consultation with Knowsley Metropolitan Borough Council, tenants</w:t>
      </w:r>
      <w:r w:rsidRPr="00E154F5">
        <w:rPr>
          <w:rFonts w:ascii="Lato" w:hAnsi="Lato" w:cs="Calibri"/>
          <w:color w:val="000000"/>
        </w:rPr>
        <w:t xml:space="preserve">, </w:t>
      </w:r>
      <w:r w:rsidR="00254B09" w:rsidRPr="00E154F5">
        <w:rPr>
          <w:rFonts w:ascii="Lato" w:hAnsi="Lato" w:cs="Calibri"/>
          <w:color w:val="000000"/>
        </w:rPr>
        <w:t>residents</w:t>
      </w:r>
      <w:r w:rsidRPr="00E154F5">
        <w:rPr>
          <w:rFonts w:ascii="Lato" w:hAnsi="Lato" w:cs="Calibri"/>
          <w:color w:val="000000"/>
        </w:rPr>
        <w:t>, and Ward</w:t>
      </w:r>
      <w:r w:rsidRPr="00E154F5">
        <w:rPr>
          <w:rFonts w:ascii="Lato" w:hAnsi="Lato" w:cs="Calibri"/>
        </w:rPr>
        <w:t xml:space="preserve"> Members.</w:t>
      </w:r>
    </w:p>
    <w:p w14:paraId="4AAEA78C" w14:textId="77777777" w:rsidR="00AC0196" w:rsidRPr="00E154F5" w:rsidRDefault="00AC0196" w:rsidP="00AC0196">
      <w:pPr>
        <w:numPr>
          <w:ilvl w:val="0"/>
          <w:numId w:val="2"/>
        </w:numPr>
        <w:spacing w:after="0" w:line="240" w:lineRule="auto"/>
        <w:ind w:hanging="360"/>
        <w:jc w:val="both"/>
        <w:rPr>
          <w:rFonts w:ascii="Lato" w:hAnsi="Lato" w:cs="Calibri"/>
          <w:b/>
        </w:rPr>
      </w:pPr>
      <w:r w:rsidRPr="00E154F5">
        <w:rPr>
          <w:rFonts w:ascii="Lato" w:hAnsi="Lato" w:cs="Calibri"/>
          <w:b/>
        </w:rPr>
        <w:t>Our Commitments</w:t>
      </w:r>
    </w:p>
    <w:p w14:paraId="295E7EA7" w14:textId="77777777" w:rsidR="00AC0196" w:rsidRPr="00E154F5" w:rsidRDefault="00AC0196" w:rsidP="00AC0196">
      <w:pPr>
        <w:pStyle w:val="NoSpacing"/>
        <w:jc w:val="both"/>
        <w:rPr>
          <w:rFonts w:ascii="Lato" w:eastAsia="Calibri" w:hAnsi="Lato" w:cs="Calibri"/>
          <w:sz w:val="22"/>
          <w:szCs w:val="22"/>
          <w:lang w:eastAsia="en-US"/>
        </w:rPr>
      </w:pPr>
    </w:p>
    <w:p w14:paraId="292D8983" w14:textId="3FE00EDF" w:rsidR="00AC0196" w:rsidRPr="00E154F5" w:rsidRDefault="00854871" w:rsidP="00AC0196">
      <w:pPr>
        <w:jc w:val="both"/>
        <w:rPr>
          <w:rFonts w:ascii="Lato" w:hAnsi="Lato" w:cs="Calibri"/>
        </w:rPr>
      </w:pPr>
      <w:r w:rsidRPr="00E154F5">
        <w:rPr>
          <w:rFonts w:ascii="Lato" w:hAnsi="Lato" w:cs="Calibri"/>
        </w:rPr>
        <w:t>Prima Group</w:t>
      </w:r>
      <w:r w:rsidR="00AC0196" w:rsidRPr="00E154F5">
        <w:rPr>
          <w:rFonts w:ascii="Lato" w:hAnsi="Lato" w:cs="Calibri"/>
        </w:rPr>
        <w:t xml:space="preserve"> are committed to all allocations being made using Knowsley’s choice based letting scheme “Property Pool Plus” and preference will be afforded to all those who are Knowsley </w:t>
      </w:r>
      <w:r w:rsidR="00B94A3C">
        <w:rPr>
          <w:rFonts w:ascii="Lato" w:hAnsi="Lato" w:cs="Calibri"/>
        </w:rPr>
        <w:t>r</w:t>
      </w:r>
      <w:r w:rsidR="00AC0196" w:rsidRPr="00E154F5">
        <w:rPr>
          <w:rFonts w:ascii="Lato" w:hAnsi="Lato" w:cs="Calibri"/>
        </w:rPr>
        <w:t xml:space="preserve">esidents. </w:t>
      </w:r>
      <w:r w:rsidR="0049006F" w:rsidRPr="00E154F5">
        <w:rPr>
          <w:rFonts w:ascii="Lato" w:hAnsi="Lato" w:cs="Calibri"/>
        </w:rPr>
        <w:t xml:space="preserve">Prima Group </w:t>
      </w:r>
      <w:r w:rsidR="00AC0196" w:rsidRPr="00E154F5">
        <w:rPr>
          <w:rFonts w:ascii="Lato" w:hAnsi="Lato" w:cs="Calibri"/>
        </w:rPr>
        <w:t xml:space="preserve">are committed to ensuring all methods of allocating properties is done with the best interests of the customer, the </w:t>
      </w:r>
      <w:r w:rsidR="004054DF" w:rsidRPr="00E154F5">
        <w:rPr>
          <w:rFonts w:ascii="Lato" w:hAnsi="Lato" w:cs="Calibri"/>
        </w:rPr>
        <w:t>community,</w:t>
      </w:r>
      <w:r w:rsidR="00AC0196" w:rsidRPr="00E154F5">
        <w:rPr>
          <w:rFonts w:ascii="Lato" w:hAnsi="Lato" w:cs="Calibri"/>
        </w:rPr>
        <w:t xml:space="preserve"> and the local authority at the heart of what we do, to achieve a well-balanced and sustainable community.</w:t>
      </w:r>
    </w:p>
    <w:p w14:paraId="26EFCDAC" w14:textId="38BEF5D0" w:rsidR="00AC0196" w:rsidRPr="00E154F5" w:rsidRDefault="00AC0196" w:rsidP="00AC0196">
      <w:pPr>
        <w:jc w:val="both"/>
        <w:rPr>
          <w:rFonts w:ascii="Lato" w:hAnsi="Lato" w:cs="Calibri"/>
          <w:b/>
          <w:bCs/>
        </w:rPr>
      </w:pPr>
      <w:r w:rsidRPr="00E154F5">
        <w:rPr>
          <w:rFonts w:ascii="Lato" w:hAnsi="Lato" w:cs="Calibri"/>
        </w:rPr>
        <w:t xml:space="preserve">This LLP is intended to balance the requirement to re-house people in housing need with the requirement to ensure the creation of a balanced community. Through this LLP, </w:t>
      </w:r>
      <w:r w:rsidR="0049006F" w:rsidRPr="00E154F5">
        <w:rPr>
          <w:rFonts w:ascii="Lato" w:hAnsi="Lato" w:cs="Calibri"/>
        </w:rPr>
        <w:t xml:space="preserve">Prima Group </w:t>
      </w:r>
      <w:r w:rsidRPr="00E154F5">
        <w:rPr>
          <w:rFonts w:ascii="Lato" w:hAnsi="Lato" w:cs="Calibri"/>
        </w:rPr>
        <w:t xml:space="preserve">will seek to establish a stable, balanced community for the benefit of all the new residents </w:t>
      </w:r>
      <w:r w:rsidR="009137BD" w:rsidRPr="00E154F5">
        <w:rPr>
          <w:rFonts w:ascii="Lato" w:hAnsi="Lato" w:cs="Calibri"/>
        </w:rPr>
        <w:t>and</w:t>
      </w:r>
      <w:r w:rsidRPr="00E154F5">
        <w:rPr>
          <w:rFonts w:ascii="Lato" w:hAnsi="Lato" w:cs="Calibri"/>
        </w:rPr>
        <w:t xml:space="preserve"> those in the surrounding area</w:t>
      </w:r>
      <w:r w:rsidRPr="00E154F5">
        <w:rPr>
          <w:rFonts w:ascii="Lato" w:hAnsi="Lato" w:cs="Calibri"/>
          <w:b/>
          <w:bCs/>
        </w:rPr>
        <w:t>.</w:t>
      </w:r>
    </w:p>
    <w:p w14:paraId="58B1F91A" w14:textId="6443A847" w:rsidR="00AC0196" w:rsidRDefault="00AC0196" w:rsidP="00AC0196">
      <w:pPr>
        <w:jc w:val="both"/>
        <w:rPr>
          <w:rFonts w:ascii="Lato" w:hAnsi="Lato" w:cs="Calibri"/>
        </w:rPr>
      </w:pPr>
      <w:r w:rsidRPr="009137BD">
        <w:rPr>
          <w:rFonts w:ascii="Lato" w:hAnsi="Lato" w:cs="Calibri"/>
        </w:rPr>
        <w:t xml:space="preserve">Over the past </w:t>
      </w:r>
      <w:r w:rsidR="009137BD" w:rsidRPr="009137BD">
        <w:rPr>
          <w:rFonts w:ascii="Lato" w:hAnsi="Lato" w:cs="Calibri"/>
        </w:rPr>
        <w:t>five</w:t>
      </w:r>
      <w:r w:rsidRPr="009137BD">
        <w:rPr>
          <w:rFonts w:ascii="Lato" w:hAnsi="Lato" w:cs="Calibri"/>
        </w:rPr>
        <w:t xml:space="preserve"> years, </w:t>
      </w:r>
      <w:r w:rsidR="009137BD" w:rsidRPr="009137BD">
        <w:rPr>
          <w:rFonts w:ascii="Lato" w:hAnsi="Lato" w:cs="Calibri"/>
        </w:rPr>
        <w:t>Prima</w:t>
      </w:r>
      <w:r w:rsidRPr="009137BD">
        <w:rPr>
          <w:rFonts w:ascii="Lato" w:hAnsi="Lato" w:cs="Calibri"/>
        </w:rPr>
        <w:t xml:space="preserve"> has allocated several new build developments via the Property Pool Plus Choice Based Lettings Scheme </w:t>
      </w:r>
      <w:r w:rsidR="009137BD" w:rsidRPr="009137BD">
        <w:rPr>
          <w:rFonts w:ascii="Lato" w:hAnsi="Lato" w:cs="Calibri"/>
        </w:rPr>
        <w:t>across the Liverpool City Region</w:t>
      </w:r>
      <w:r w:rsidRPr="009137BD">
        <w:rPr>
          <w:rFonts w:ascii="Lato" w:hAnsi="Lato" w:cs="Calibri"/>
        </w:rPr>
        <w:t xml:space="preserve">. The majority of these have been let without a Local Lettings Plan in place and has resulted in a </w:t>
      </w:r>
      <w:r w:rsidR="004C38BD" w:rsidRPr="009137BD">
        <w:rPr>
          <w:rFonts w:ascii="Lato" w:hAnsi="Lato" w:cs="Calibri"/>
        </w:rPr>
        <w:t>considerable number</w:t>
      </w:r>
      <w:r w:rsidRPr="009137BD">
        <w:rPr>
          <w:rFonts w:ascii="Lato" w:hAnsi="Lato" w:cs="Calibri"/>
        </w:rPr>
        <w:t xml:space="preserve"> of problems for the community, the residents, </w:t>
      </w:r>
      <w:r w:rsidR="009137BD" w:rsidRPr="009137BD">
        <w:rPr>
          <w:rFonts w:ascii="Lato" w:hAnsi="Lato" w:cs="Calibri"/>
        </w:rPr>
        <w:t>Prima Group</w:t>
      </w:r>
      <w:r w:rsidRPr="009137BD">
        <w:rPr>
          <w:rFonts w:ascii="Lato" w:hAnsi="Lato" w:cs="Calibri"/>
        </w:rPr>
        <w:t xml:space="preserve"> and public services. These issues vary in terms from Crime, Anti-Social Behaviour, Criminal </w:t>
      </w:r>
      <w:r w:rsidR="004054DF" w:rsidRPr="009137BD">
        <w:rPr>
          <w:rFonts w:ascii="Lato" w:hAnsi="Lato" w:cs="Calibri"/>
        </w:rPr>
        <w:t>Damage,</w:t>
      </w:r>
      <w:r w:rsidRPr="009137BD">
        <w:rPr>
          <w:rFonts w:ascii="Lato" w:hAnsi="Lato" w:cs="Calibri"/>
        </w:rPr>
        <w:t xml:space="preserve"> and instability within the communities. The impact has </w:t>
      </w:r>
      <w:r w:rsidR="009137BD" w:rsidRPr="009137BD">
        <w:rPr>
          <w:rFonts w:ascii="Lato" w:hAnsi="Lato" w:cs="Calibri"/>
        </w:rPr>
        <w:t>had a significant cost</w:t>
      </w:r>
      <w:r w:rsidRPr="009137BD">
        <w:rPr>
          <w:rFonts w:ascii="Lato" w:hAnsi="Lato" w:cs="Calibri"/>
        </w:rPr>
        <w:t xml:space="preserve"> to the communities, residents</w:t>
      </w:r>
      <w:r w:rsidR="009137BD" w:rsidRPr="009137BD">
        <w:rPr>
          <w:rFonts w:ascii="Lato" w:hAnsi="Lato" w:cs="Calibri"/>
        </w:rPr>
        <w:t>, Public Services and</w:t>
      </w:r>
      <w:r w:rsidRPr="009137BD">
        <w:rPr>
          <w:rFonts w:ascii="Lato" w:hAnsi="Lato" w:cs="Calibri"/>
        </w:rPr>
        <w:t xml:space="preserve"> </w:t>
      </w:r>
      <w:r w:rsidR="009137BD" w:rsidRPr="009137BD">
        <w:rPr>
          <w:rFonts w:ascii="Lato" w:hAnsi="Lato" w:cs="Calibri"/>
        </w:rPr>
        <w:t>Prima Group.</w:t>
      </w:r>
    </w:p>
    <w:p w14:paraId="36D33D5C" w14:textId="578FF73D" w:rsidR="002C24A3" w:rsidRPr="009137BD" w:rsidRDefault="002A2DB1" w:rsidP="00AC0196">
      <w:pPr>
        <w:jc w:val="both"/>
        <w:rPr>
          <w:rFonts w:ascii="Lato" w:hAnsi="Lato" w:cs="Calibri"/>
        </w:rPr>
      </w:pPr>
      <w:r>
        <w:rPr>
          <w:rFonts w:ascii="Lato" w:hAnsi="Lato" w:cs="Calibri"/>
        </w:rPr>
        <w:t xml:space="preserve">This development site </w:t>
      </w:r>
      <w:r w:rsidR="0005480E">
        <w:rPr>
          <w:rFonts w:ascii="Lato" w:hAnsi="Lato" w:cs="Calibri"/>
        </w:rPr>
        <w:t xml:space="preserve">will also include a second block of </w:t>
      </w:r>
      <w:r w:rsidR="00BF651F">
        <w:rPr>
          <w:rFonts w:ascii="Lato" w:hAnsi="Lato" w:cs="Calibri"/>
        </w:rPr>
        <w:t>9</w:t>
      </w:r>
      <w:r w:rsidR="006E4039">
        <w:rPr>
          <w:rFonts w:ascii="Lato" w:hAnsi="Lato" w:cs="Calibri"/>
        </w:rPr>
        <w:t xml:space="preserve"> </w:t>
      </w:r>
      <w:r w:rsidR="0005480E">
        <w:rPr>
          <w:rFonts w:ascii="Lato" w:hAnsi="Lato" w:cs="Calibri"/>
        </w:rPr>
        <w:t xml:space="preserve">flats which will </w:t>
      </w:r>
      <w:r w:rsidR="005824D8">
        <w:rPr>
          <w:rFonts w:ascii="Lato" w:hAnsi="Lato" w:cs="Calibri"/>
        </w:rPr>
        <w:t xml:space="preserve">be utilised as a supported housing scheme.  </w:t>
      </w:r>
      <w:r w:rsidR="003D3795">
        <w:rPr>
          <w:rFonts w:ascii="Lato" w:hAnsi="Lato" w:cs="Calibri"/>
        </w:rPr>
        <w:t xml:space="preserve">Prima </w:t>
      </w:r>
      <w:r w:rsidR="00C922E3">
        <w:rPr>
          <w:rFonts w:ascii="Lato" w:hAnsi="Lato" w:cs="Calibri"/>
        </w:rPr>
        <w:t>must also</w:t>
      </w:r>
      <w:r w:rsidR="003D3795">
        <w:rPr>
          <w:rFonts w:ascii="Lato" w:hAnsi="Lato" w:cs="Calibri"/>
        </w:rPr>
        <w:t xml:space="preserve"> take into account the needs of the supported housing </w:t>
      </w:r>
      <w:r w:rsidR="00D91273">
        <w:rPr>
          <w:rFonts w:ascii="Lato" w:hAnsi="Lato" w:cs="Calibri"/>
        </w:rPr>
        <w:t>tenants’</w:t>
      </w:r>
      <w:r w:rsidR="003D3795">
        <w:rPr>
          <w:rFonts w:ascii="Lato" w:hAnsi="Lato" w:cs="Calibri"/>
        </w:rPr>
        <w:t xml:space="preserve"> </w:t>
      </w:r>
      <w:r w:rsidR="00BF1DCA">
        <w:rPr>
          <w:rFonts w:ascii="Lato" w:hAnsi="Lato" w:cs="Calibri"/>
        </w:rPr>
        <w:t xml:space="preserve">vulnerabilities, </w:t>
      </w:r>
      <w:r w:rsidR="00C922E3">
        <w:rPr>
          <w:rFonts w:ascii="Lato" w:hAnsi="Lato" w:cs="Calibri"/>
        </w:rPr>
        <w:t xml:space="preserve">when allocating </w:t>
      </w:r>
      <w:r w:rsidR="00602285">
        <w:rPr>
          <w:rFonts w:ascii="Lato" w:hAnsi="Lato" w:cs="Calibri"/>
        </w:rPr>
        <w:t>the flats in</w:t>
      </w:r>
      <w:r w:rsidR="00C51DA0">
        <w:rPr>
          <w:rFonts w:ascii="Lato" w:hAnsi="Lato" w:cs="Calibri"/>
        </w:rPr>
        <w:t xml:space="preserve"> the general needs block</w:t>
      </w:r>
      <w:r w:rsidR="00602285">
        <w:rPr>
          <w:rFonts w:ascii="Lato" w:hAnsi="Lato" w:cs="Calibri"/>
        </w:rPr>
        <w:t xml:space="preserve"> </w:t>
      </w:r>
      <w:r w:rsidR="00FD7B38">
        <w:rPr>
          <w:rFonts w:ascii="Lato" w:hAnsi="Lato" w:cs="Calibri"/>
        </w:rPr>
        <w:t>to minimise potential impacts</w:t>
      </w:r>
      <w:r w:rsidR="00602285">
        <w:rPr>
          <w:rFonts w:ascii="Lato" w:hAnsi="Lato" w:cs="Calibri"/>
        </w:rPr>
        <w:t xml:space="preserve">. </w:t>
      </w:r>
    </w:p>
    <w:p w14:paraId="6322228E" w14:textId="5D1E486B" w:rsidR="009137BD" w:rsidRPr="00E154F5" w:rsidRDefault="009137BD" w:rsidP="00AC0196">
      <w:pPr>
        <w:jc w:val="both"/>
        <w:rPr>
          <w:rFonts w:ascii="Lato" w:hAnsi="Lato" w:cs="Calibri"/>
        </w:rPr>
      </w:pPr>
      <w:r w:rsidRPr="009137BD">
        <w:rPr>
          <w:rStyle w:val="cf01"/>
          <w:rFonts w:ascii="Lato" w:hAnsi="Lato" w:cs="Calibri"/>
          <w:sz w:val="22"/>
          <w:szCs w:val="22"/>
        </w:rPr>
        <w:lastRenderedPageBreak/>
        <w:t>Prima Group</w:t>
      </w:r>
      <w:r w:rsidR="00AC0196" w:rsidRPr="009137BD">
        <w:rPr>
          <w:rStyle w:val="cf01"/>
          <w:rFonts w:ascii="Lato" w:hAnsi="Lato" w:cs="Calibri"/>
          <w:sz w:val="22"/>
          <w:szCs w:val="22"/>
        </w:rPr>
        <w:t xml:space="preserve"> hope that the use of an LLP for this new development will allow us to </w:t>
      </w:r>
      <w:r w:rsidRPr="009137BD">
        <w:rPr>
          <w:rStyle w:val="cf01"/>
          <w:rFonts w:ascii="Lato" w:hAnsi="Lato" w:cs="Calibri"/>
          <w:sz w:val="22"/>
          <w:szCs w:val="22"/>
        </w:rPr>
        <w:t>minimise the risk of these issues by creating a</w:t>
      </w:r>
      <w:r w:rsidR="00AC0196" w:rsidRPr="009137BD">
        <w:rPr>
          <w:rStyle w:val="cf01"/>
          <w:rFonts w:ascii="Lato" w:hAnsi="Lato" w:cs="Calibri"/>
          <w:sz w:val="22"/>
          <w:szCs w:val="22"/>
        </w:rPr>
        <w:t xml:space="preserve"> balanced community</w:t>
      </w:r>
      <w:r w:rsidRPr="009137BD">
        <w:rPr>
          <w:rStyle w:val="cf01"/>
          <w:rFonts w:ascii="Lato" w:hAnsi="Lato" w:cs="Calibri"/>
          <w:sz w:val="22"/>
          <w:szCs w:val="22"/>
        </w:rPr>
        <w:t xml:space="preserve"> w</w:t>
      </w:r>
      <w:r w:rsidR="00AC0196" w:rsidRPr="009137BD">
        <w:rPr>
          <w:rStyle w:val="cf01"/>
          <w:rFonts w:ascii="Lato" w:hAnsi="Lato" w:cs="Calibri"/>
          <w:sz w:val="22"/>
          <w:szCs w:val="22"/>
        </w:rPr>
        <w:t xml:space="preserve">hilst </w:t>
      </w:r>
      <w:r w:rsidRPr="009137BD">
        <w:rPr>
          <w:rStyle w:val="cf01"/>
          <w:rFonts w:ascii="Lato" w:hAnsi="Lato" w:cs="Calibri"/>
          <w:sz w:val="22"/>
          <w:szCs w:val="22"/>
        </w:rPr>
        <w:t>addressing</w:t>
      </w:r>
      <w:r w:rsidR="00AC0196" w:rsidRPr="009137BD">
        <w:rPr>
          <w:rStyle w:val="cf01"/>
          <w:rFonts w:ascii="Lato" w:hAnsi="Lato" w:cs="Calibri"/>
          <w:sz w:val="22"/>
          <w:szCs w:val="22"/>
        </w:rPr>
        <w:t xml:space="preserve"> the housing need of Knowsley residents.</w:t>
      </w:r>
    </w:p>
    <w:p w14:paraId="2BA19FCB" w14:textId="77777777" w:rsidR="00AC0196" w:rsidRPr="00E154F5" w:rsidRDefault="00AC0196" w:rsidP="00AC0196">
      <w:pPr>
        <w:jc w:val="both"/>
        <w:rPr>
          <w:rFonts w:ascii="Lato" w:hAnsi="Lato" w:cs="Calibri"/>
          <w:b/>
        </w:rPr>
      </w:pPr>
      <w:r w:rsidRPr="00E154F5">
        <w:rPr>
          <w:rFonts w:ascii="Lato" w:hAnsi="Lato" w:cs="Calibri"/>
          <w:b/>
          <w:bCs/>
        </w:rPr>
        <w:t>3</w:t>
      </w:r>
      <w:r w:rsidRPr="00E154F5">
        <w:rPr>
          <w:rFonts w:ascii="Lato" w:hAnsi="Lato" w:cs="Calibri"/>
          <w:b/>
        </w:rPr>
        <w:t xml:space="preserve">. </w:t>
      </w:r>
      <w:r w:rsidRPr="00E154F5">
        <w:rPr>
          <w:rFonts w:ascii="Lato" w:hAnsi="Lato" w:cs="Calibri"/>
          <w:b/>
          <w:bCs/>
        </w:rPr>
        <w:t>Demand</w:t>
      </w:r>
    </w:p>
    <w:p w14:paraId="19120ECF" w14:textId="25C15656" w:rsidR="00AC0196" w:rsidRDefault="00AC0196" w:rsidP="00AC0196">
      <w:pPr>
        <w:jc w:val="both"/>
        <w:rPr>
          <w:rFonts w:ascii="Lato" w:hAnsi="Lato" w:cs="Calibri"/>
        </w:rPr>
      </w:pPr>
      <w:r w:rsidRPr="00A733E0">
        <w:rPr>
          <w:rFonts w:ascii="Lato" w:hAnsi="Lato" w:cs="Calibri"/>
        </w:rPr>
        <w:t xml:space="preserve">As of </w:t>
      </w:r>
      <w:r w:rsidR="00755A8B" w:rsidRPr="00A733E0">
        <w:rPr>
          <w:rFonts w:ascii="Lato" w:hAnsi="Lato" w:cs="Calibri"/>
        </w:rPr>
        <w:t>January 2025</w:t>
      </w:r>
      <w:r w:rsidRPr="00A733E0">
        <w:rPr>
          <w:rFonts w:ascii="Lato" w:hAnsi="Lato" w:cs="Calibri"/>
        </w:rPr>
        <w:t>, there are currently 2,</w:t>
      </w:r>
      <w:r w:rsidR="00A733E0" w:rsidRPr="00A733E0">
        <w:rPr>
          <w:rFonts w:ascii="Lato" w:hAnsi="Lato" w:cs="Calibri"/>
        </w:rPr>
        <w:t>699</w:t>
      </w:r>
      <w:r w:rsidRPr="00A733E0">
        <w:rPr>
          <w:rFonts w:ascii="Lato" w:hAnsi="Lato" w:cs="Calibri"/>
        </w:rPr>
        <w:t xml:space="preserve"> active applicants who are eligible for a home on Property Pool Plus within the Knowsley sub region. The breakdown of applicants on Knowsley’s</w:t>
      </w:r>
      <w:r w:rsidRPr="00A733E0" w:rsidDel="00027D65">
        <w:rPr>
          <w:rFonts w:ascii="Lato" w:hAnsi="Lato" w:cs="Calibri"/>
        </w:rPr>
        <w:t xml:space="preserve"> </w:t>
      </w:r>
      <w:r w:rsidRPr="00A733E0">
        <w:rPr>
          <w:rFonts w:ascii="Lato" w:hAnsi="Lato" w:cs="Calibri"/>
        </w:rPr>
        <w:t>Housing Register are as follows:</w:t>
      </w:r>
    </w:p>
    <w:tbl>
      <w:tblPr>
        <w:tblW w:w="8921" w:type="dxa"/>
        <w:tblLook w:val="04A0" w:firstRow="1" w:lastRow="0" w:firstColumn="1" w:lastColumn="0" w:noHBand="0" w:noVBand="1"/>
      </w:tblPr>
      <w:tblGrid>
        <w:gridCol w:w="2180"/>
        <w:gridCol w:w="929"/>
        <w:gridCol w:w="992"/>
        <w:gridCol w:w="992"/>
        <w:gridCol w:w="851"/>
        <w:gridCol w:w="850"/>
        <w:gridCol w:w="851"/>
        <w:gridCol w:w="1276"/>
      </w:tblGrid>
      <w:tr w:rsidR="007E3F17" w:rsidRPr="007E3F17" w14:paraId="28D449B1" w14:textId="77777777" w:rsidTr="00CF5F34">
        <w:trPr>
          <w:trHeight w:val="300"/>
        </w:trPr>
        <w:tc>
          <w:tcPr>
            <w:tcW w:w="218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1C70BBC" w14:textId="77777777" w:rsidR="007E3F17" w:rsidRPr="00A733E0" w:rsidRDefault="007E3F17" w:rsidP="007E3F17">
            <w:pPr>
              <w:spacing w:after="0" w:line="240" w:lineRule="auto"/>
              <w:rPr>
                <w:rFonts w:ascii="Lato" w:hAnsi="Lato"/>
                <w:b/>
                <w:bCs/>
                <w:color w:val="000000"/>
                <w:lang w:eastAsia="en-GB"/>
              </w:rPr>
            </w:pPr>
            <w:r w:rsidRPr="00A733E0">
              <w:rPr>
                <w:rFonts w:ascii="Lato" w:hAnsi="Lato"/>
                <w:b/>
                <w:bCs/>
                <w:color w:val="000000"/>
                <w:lang w:eastAsia="en-GB"/>
              </w:rPr>
              <w:t>HRA - Knowsley band</w:t>
            </w:r>
          </w:p>
        </w:tc>
        <w:tc>
          <w:tcPr>
            <w:tcW w:w="4614" w:type="dxa"/>
            <w:gridSpan w:val="5"/>
            <w:tcBorders>
              <w:top w:val="single" w:sz="8" w:space="0" w:color="auto"/>
              <w:left w:val="nil"/>
              <w:bottom w:val="single" w:sz="8" w:space="0" w:color="auto"/>
              <w:right w:val="single" w:sz="8" w:space="0" w:color="000000"/>
            </w:tcBorders>
            <w:shd w:val="clear" w:color="000000" w:fill="D9D9D9"/>
            <w:noWrap/>
            <w:vAlign w:val="center"/>
            <w:hideMark/>
          </w:tcPr>
          <w:p w14:paraId="5C1A158B" w14:textId="77777777" w:rsidR="007E3F17" w:rsidRPr="00A733E0" w:rsidRDefault="007E3F17" w:rsidP="007E3F17">
            <w:pPr>
              <w:spacing w:after="0" w:line="240" w:lineRule="auto"/>
              <w:jc w:val="center"/>
              <w:rPr>
                <w:rFonts w:ascii="Lato" w:hAnsi="Lato"/>
                <w:b/>
                <w:bCs/>
                <w:color w:val="000000"/>
                <w:lang w:eastAsia="en-GB"/>
              </w:rPr>
            </w:pPr>
            <w:r w:rsidRPr="00A733E0">
              <w:rPr>
                <w:rFonts w:ascii="Lato" w:hAnsi="Lato"/>
                <w:b/>
                <w:bCs/>
                <w:color w:val="000000"/>
                <w:lang w:eastAsia="en-GB"/>
              </w:rPr>
              <w:t>HRA - Minimum bed size</w:t>
            </w:r>
          </w:p>
        </w:tc>
        <w:tc>
          <w:tcPr>
            <w:tcW w:w="851" w:type="dxa"/>
            <w:tcBorders>
              <w:top w:val="single" w:sz="8" w:space="0" w:color="auto"/>
              <w:left w:val="nil"/>
              <w:bottom w:val="single" w:sz="8" w:space="0" w:color="auto"/>
              <w:right w:val="single" w:sz="8" w:space="0" w:color="auto"/>
            </w:tcBorders>
            <w:shd w:val="clear" w:color="000000" w:fill="D9D9D9"/>
            <w:noWrap/>
            <w:vAlign w:val="center"/>
            <w:hideMark/>
          </w:tcPr>
          <w:p w14:paraId="6FB96510" w14:textId="77777777" w:rsidR="007E3F17" w:rsidRPr="00A733E0" w:rsidRDefault="007E3F17" w:rsidP="007E3F17">
            <w:pPr>
              <w:spacing w:after="0" w:line="240" w:lineRule="auto"/>
              <w:jc w:val="center"/>
              <w:rPr>
                <w:rFonts w:ascii="Lato" w:hAnsi="Lato"/>
                <w:b/>
                <w:bCs/>
                <w:color w:val="000000"/>
                <w:lang w:eastAsia="en-GB"/>
              </w:rPr>
            </w:pPr>
            <w:r w:rsidRPr="00A733E0">
              <w:rPr>
                <w:rFonts w:ascii="Lato" w:hAnsi="Lato"/>
                <w:b/>
                <w:bCs/>
                <w:color w:val="000000"/>
                <w:lang w:eastAsia="en-GB"/>
              </w:rPr>
              <w:t>Total</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36670269" w14:textId="77777777" w:rsidR="007E3F17" w:rsidRPr="00A733E0" w:rsidRDefault="007E3F17" w:rsidP="007E3F17">
            <w:pPr>
              <w:spacing w:after="0" w:line="240" w:lineRule="auto"/>
              <w:jc w:val="center"/>
              <w:rPr>
                <w:rFonts w:ascii="Lato" w:hAnsi="Lato"/>
                <w:b/>
                <w:bCs/>
                <w:color w:val="000000"/>
                <w:lang w:eastAsia="en-GB"/>
              </w:rPr>
            </w:pPr>
            <w:r w:rsidRPr="00A733E0">
              <w:rPr>
                <w:rFonts w:ascii="Lato" w:hAnsi="Lato"/>
                <w:b/>
                <w:bCs/>
                <w:color w:val="000000"/>
                <w:lang w:eastAsia="en-GB"/>
              </w:rPr>
              <w:t>% of register</w:t>
            </w:r>
          </w:p>
        </w:tc>
      </w:tr>
      <w:tr w:rsidR="004F5311" w:rsidRPr="007E3F17" w14:paraId="6D10AAF1" w14:textId="77777777" w:rsidTr="00CF5F34">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731BD314" w14:textId="77777777" w:rsidR="007E3F17" w:rsidRPr="00A733E0" w:rsidRDefault="007E3F17" w:rsidP="007E3F17">
            <w:pPr>
              <w:spacing w:after="0" w:line="240" w:lineRule="auto"/>
              <w:rPr>
                <w:rFonts w:ascii="Lato" w:hAnsi="Lato"/>
                <w:color w:val="000000"/>
                <w:lang w:eastAsia="en-GB"/>
              </w:rPr>
            </w:pPr>
            <w:r w:rsidRPr="00A733E0">
              <w:rPr>
                <w:rFonts w:ascii="Lato" w:hAnsi="Lato"/>
                <w:color w:val="000000"/>
                <w:lang w:eastAsia="en-GB"/>
              </w:rPr>
              <w:t> </w:t>
            </w:r>
          </w:p>
        </w:tc>
        <w:tc>
          <w:tcPr>
            <w:tcW w:w="929" w:type="dxa"/>
            <w:tcBorders>
              <w:top w:val="nil"/>
              <w:left w:val="nil"/>
              <w:bottom w:val="single" w:sz="8" w:space="0" w:color="auto"/>
              <w:right w:val="single" w:sz="8" w:space="0" w:color="auto"/>
            </w:tcBorders>
            <w:shd w:val="clear" w:color="auto" w:fill="auto"/>
            <w:noWrap/>
            <w:vAlign w:val="center"/>
            <w:hideMark/>
          </w:tcPr>
          <w:p w14:paraId="0D7DA6EC" w14:textId="77777777" w:rsidR="007E3F17" w:rsidRPr="00A733E0" w:rsidRDefault="007E3F17" w:rsidP="007E3F17">
            <w:pPr>
              <w:spacing w:after="0" w:line="240" w:lineRule="auto"/>
              <w:jc w:val="center"/>
              <w:rPr>
                <w:rFonts w:ascii="Lato" w:hAnsi="Lato"/>
                <w:b/>
                <w:bCs/>
                <w:color w:val="000000"/>
                <w:lang w:eastAsia="en-GB"/>
              </w:rPr>
            </w:pPr>
            <w:r w:rsidRPr="00A733E0">
              <w:rPr>
                <w:rFonts w:ascii="Lato" w:hAnsi="Lato"/>
                <w:b/>
                <w:bCs/>
                <w:color w:val="000000"/>
                <w:lang w:eastAsia="en-GB"/>
              </w:rPr>
              <w:t>1</w:t>
            </w:r>
          </w:p>
        </w:tc>
        <w:tc>
          <w:tcPr>
            <w:tcW w:w="992" w:type="dxa"/>
            <w:tcBorders>
              <w:top w:val="nil"/>
              <w:left w:val="nil"/>
              <w:bottom w:val="single" w:sz="8" w:space="0" w:color="auto"/>
              <w:right w:val="single" w:sz="8" w:space="0" w:color="auto"/>
            </w:tcBorders>
            <w:shd w:val="clear" w:color="auto" w:fill="auto"/>
            <w:noWrap/>
            <w:vAlign w:val="center"/>
            <w:hideMark/>
          </w:tcPr>
          <w:p w14:paraId="28795A91" w14:textId="77777777" w:rsidR="007E3F17" w:rsidRPr="00A733E0" w:rsidRDefault="007E3F17" w:rsidP="007E3F17">
            <w:pPr>
              <w:spacing w:after="0" w:line="240" w:lineRule="auto"/>
              <w:jc w:val="center"/>
              <w:rPr>
                <w:rFonts w:ascii="Lato" w:hAnsi="Lato"/>
                <w:b/>
                <w:bCs/>
                <w:color w:val="000000"/>
                <w:lang w:eastAsia="en-GB"/>
              </w:rPr>
            </w:pPr>
            <w:r w:rsidRPr="00A733E0">
              <w:rPr>
                <w:rFonts w:ascii="Lato" w:hAnsi="Lato"/>
                <w:b/>
                <w:bCs/>
                <w:color w:val="000000"/>
                <w:lang w:eastAsia="en-GB"/>
              </w:rPr>
              <w:t>2</w:t>
            </w:r>
          </w:p>
        </w:tc>
        <w:tc>
          <w:tcPr>
            <w:tcW w:w="992" w:type="dxa"/>
            <w:tcBorders>
              <w:top w:val="nil"/>
              <w:left w:val="nil"/>
              <w:bottom w:val="single" w:sz="8" w:space="0" w:color="auto"/>
              <w:right w:val="single" w:sz="8" w:space="0" w:color="auto"/>
            </w:tcBorders>
            <w:shd w:val="clear" w:color="auto" w:fill="auto"/>
            <w:noWrap/>
            <w:vAlign w:val="center"/>
            <w:hideMark/>
          </w:tcPr>
          <w:p w14:paraId="5294344E" w14:textId="77777777" w:rsidR="007E3F17" w:rsidRPr="00A733E0" w:rsidRDefault="007E3F17" w:rsidP="007E3F17">
            <w:pPr>
              <w:spacing w:after="0" w:line="240" w:lineRule="auto"/>
              <w:jc w:val="center"/>
              <w:rPr>
                <w:rFonts w:ascii="Lato" w:hAnsi="Lato"/>
                <w:b/>
                <w:bCs/>
                <w:color w:val="000000"/>
                <w:lang w:eastAsia="en-GB"/>
              </w:rPr>
            </w:pPr>
            <w:r w:rsidRPr="00A733E0">
              <w:rPr>
                <w:rFonts w:ascii="Lato" w:hAnsi="Lato"/>
                <w:b/>
                <w:bCs/>
                <w:color w:val="000000"/>
                <w:lang w:eastAsia="en-GB"/>
              </w:rPr>
              <w:t>3</w:t>
            </w:r>
          </w:p>
        </w:tc>
        <w:tc>
          <w:tcPr>
            <w:tcW w:w="851" w:type="dxa"/>
            <w:tcBorders>
              <w:top w:val="nil"/>
              <w:left w:val="nil"/>
              <w:bottom w:val="single" w:sz="8" w:space="0" w:color="auto"/>
              <w:right w:val="single" w:sz="8" w:space="0" w:color="auto"/>
            </w:tcBorders>
            <w:shd w:val="clear" w:color="auto" w:fill="auto"/>
            <w:noWrap/>
            <w:vAlign w:val="center"/>
            <w:hideMark/>
          </w:tcPr>
          <w:p w14:paraId="1AA7870E" w14:textId="77777777" w:rsidR="007E3F17" w:rsidRPr="00A733E0" w:rsidRDefault="007E3F17" w:rsidP="007E3F17">
            <w:pPr>
              <w:spacing w:after="0" w:line="240" w:lineRule="auto"/>
              <w:jc w:val="center"/>
              <w:rPr>
                <w:rFonts w:ascii="Lato" w:hAnsi="Lato"/>
                <w:b/>
                <w:bCs/>
                <w:color w:val="000000"/>
                <w:lang w:eastAsia="en-GB"/>
              </w:rPr>
            </w:pPr>
            <w:r w:rsidRPr="00A733E0">
              <w:rPr>
                <w:rFonts w:ascii="Lato" w:hAnsi="Lato"/>
                <w:b/>
                <w:bCs/>
                <w:color w:val="000000"/>
                <w:lang w:eastAsia="en-GB"/>
              </w:rPr>
              <w:t>4</w:t>
            </w:r>
          </w:p>
        </w:tc>
        <w:tc>
          <w:tcPr>
            <w:tcW w:w="850" w:type="dxa"/>
            <w:tcBorders>
              <w:top w:val="nil"/>
              <w:left w:val="nil"/>
              <w:bottom w:val="single" w:sz="8" w:space="0" w:color="auto"/>
              <w:right w:val="single" w:sz="8" w:space="0" w:color="auto"/>
            </w:tcBorders>
            <w:shd w:val="clear" w:color="auto" w:fill="auto"/>
            <w:noWrap/>
            <w:vAlign w:val="center"/>
            <w:hideMark/>
          </w:tcPr>
          <w:p w14:paraId="27F4DB16" w14:textId="77777777" w:rsidR="007E3F17" w:rsidRPr="00A733E0" w:rsidRDefault="007E3F17" w:rsidP="007E3F17">
            <w:pPr>
              <w:spacing w:after="0" w:line="240" w:lineRule="auto"/>
              <w:jc w:val="center"/>
              <w:rPr>
                <w:rFonts w:ascii="Lato" w:hAnsi="Lato"/>
                <w:b/>
                <w:bCs/>
                <w:color w:val="000000"/>
                <w:lang w:eastAsia="en-GB"/>
              </w:rPr>
            </w:pPr>
            <w:r w:rsidRPr="00A733E0">
              <w:rPr>
                <w:rFonts w:ascii="Lato" w:hAnsi="Lato"/>
                <w:b/>
                <w:bCs/>
                <w:color w:val="000000"/>
                <w:lang w:eastAsia="en-GB"/>
              </w:rPr>
              <w:t>5</w:t>
            </w:r>
          </w:p>
        </w:tc>
        <w:tc>
          <w:tcPr>
            <w:tcW w:w="851" w:type="dxa"/>
            <w:tcBorders>
              <w:top w:val="nil"/>
              <w:left w:val="nil"/>
              <w:bottom w:val="single" w:sz="8" w:space="0" w:color="auto"/>
              <w:right w:val="single" w:sz="8" w:space="0" w:color="auto"/>
            </w:tcBorders>
            <w:shd w:val="clear" w:color="auto" w:fill="auto"/>
            <w:noWrap/>
            <w:vAlign w:val="center"/>
            <w:hideMark/>
          </w:tcPr>
          <w:p w14:paraId="77859AE7" w14:textId="77777777" w:rsidR="007E3F17" w:rsidRPr="00A733E0" w:rsidRDefault="007E3F17" w:rsidP="007E3F17">
            <w:pPr>
              <w:spacing w:after="0" w:line="240" w:lineRule="auto"/>
              <w:rPr>
                <w:rFonts w:ascii="Lato" w:hAnsi="Lato"/>
                <w:color w:val="000000"/>
                <w:lang w:eastAsia="en-GB"/>
              </w:rPr>
            </w:pPr>
            <w:r w:rsidRPr="00A733E0">
              <w:rPr>
                <w:rFonts w:ascii="Lato" w:hAnsi="Lato"/>
                <w:color w:val="000000"/>
                <w:lang w:eastAsia="en-GB"/>
              </w:rPr>
              <w:t> </w:t>
            </w:r>
          </w:p>
        </w:tc>
        <w:tc>
          <w:tcPr>
            <w:tcW w:w="1276" w:type="dxa"/>
            <w:tcBorders>
              <w:top w:val="nil"/>
              <w:left w:val="nil"/>
              <w:bottom w:val="single" w:sz="8" w:space="0" w:color="auto"/>
              <w:right w:val="single" w:sz="8" w:space="0" w:color="auto"/>
            </w:tcBorders>
            <w:shd w:val="clear" w:color="auto" w:fill="auto"/>
            <w:noWrap/>
            <w:vAlign w:val="center"/>
            <w:hideMark/>
          </w:tcPr>
          <w:p w14:paraId="5B948DCC" w14:textId="77777777" w:rsidR="007E3F17" w:rsidRPr="00A733E0" w:rsidRDefault="007E3F17" w:rsidP="007E3F17">
            <w:pPr>
              <w:spacing w:after="0" w:line="240" w:lineRule="auto"/>
              <w:rPr>
                <w:rFonts w:ascii="Lato" w:hAnsi="Lato"/>
                <w:color w:val="000000"/>
                <w:lang w:eastAsia="en-GB"/>
              </w:rPr>
            </w:pPr>
            <w:r w:rsidRPr="00A733E0">
              <w:rPr>
                <w:rFonts w:ascii="Lato" w:hAnsi="Lato"/>
                <w:color w:val="000000"/>
                <w:lang w:eastAsia="en-GB"/>
              </w:rPr>
              <w:t> </w:t>
            </w:r>
          </w:p>
        </w:tc>
      </w:tr>
      <w:tr w:rsidR="004F5311" w:rsidRPr="007E3F17" w14:paraId="03AF6736" w14:textId="77777777" w:rsidTr="00CF5F34">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337AC59B" w14:textId="77777777" w:rsidR="007E3F17" w:rsidRPr="00A733E0" w:rsidRDefault="007E3F17" w:rsidP="007E3F17">
            <w:pPr>
              <w:spacing w:after="0" w:line="240" w:lineRule="auto"/>
              <w:rPr>
                <w:rFonts w:ascii="Lato" w:hAnsi="Lato"/>
                <w:b/>
                <w:bCs/>
                <w:color w:val="000000"/>
                <w:lang w:eastAsia="en-GB"/>
              </w:rPr>
            </w:pPr>
            <w:r w:rsidRPr="00A733E0">
              <w:rPr>
                <w:rFonts w:ascii="Lato" w:hAnsi="Lato"/>
                <w:b/>
                <w:bCs/>
                <w:color w:val="000000"/>
                <w:lang w:eastAsia="en-GB"/>
              </w:rPr>
              <w:t>Band A</w:t>
            </w:r>
          </w:p>
        </w:tc>
        <w:tc>
          <w:tcPr>
            <w:tcW w:w="929" w:type="dxa"/>
            <w:tcBorders>
              <w:top w:val="nil"/>
              <w:left w:val="nil"/>
              <w:bottom w:val="single" w:sz="8" w:space="0" w:color="auto"/>
              <w:right w:val="single" w:sz="8" w:space="0" w:color="auto"/>
            </w:tcBorders>
            <w:shd w:val="clear" w:color="auto" w:fill="auto"/>
            <w:noWrap/>
            <w:vAlign w:val="center"/>
            <w:hideMark/>
          </w:tcPr>
          <w:p w14:paraId="07FB8E13" w14:textId="04073059" w:rsidR="007E3F17" w:rsidRPr="00A733E0" w:rsidRDefault="007E3F17" w:rsidP="00CF5F34">
            <w:pPr>
              <w:spacing w:after="0" w:line="240" w:lineRule="auto"/>
              <w:jc w:val="center"/>
              <w:rPr>
                <w:rFonts w:ascii="Lato" w:hAnsi="Lato"/>
                <w:color w:val="000000"/>
                <w:lang w:eastAsia="en-GB"/>
              </w:rPr>
            </w:pPr>
            <w:r w:rsidRPr="00A733E0">
              <w:rPr>
                <w:rFonts w:ascii="Lato" w:hAnsi="Lato"/>
                <w:color w:val="000000"/>
                <w:lang w:eastAsia="en-GB"/>
              </w:rPr>
              <w:t>1</w:t>
            </w:r>
            <w:r w:rsidR="00A733E0">
              <w:rPr>
                <w:rFonts w:ascii="Lato" w:hAnsi="Lato"/>
                <w:color w:val="000000"/>
                <w:lang w:eastAsia="en-GB"/>
              </w:rPr>
              <w:t>41</w:t>
            </w:r>
          </w:p>
        </w:tc>
        <w:tc>
          <w:tcPr>
            <w:tcW w:w="992" w:type="dxa"/>
            <w:tcBorders>
              <w:top w:val="nil"/>
              <w:left w:val="nil"/>
              <w:bottom w:val="single" w:sz="8" w:space="0" w:color="auto"/>
              <w:right w:val="single" w:sz="8" w:space="0" w:color="auto"/>
            </w:tcBorders>
            <w:shd w:val="clear" w:color="auto" w:fill="auto"/>
            <w:noWrap/>
            <w:vAlign w:val="center"/>
            <w:hideMark/>
          </w:tcPr>
          <w:p w14:paraId="58861C4F" w14:textId="518360A1" w:rsidR="007E3F17" w:rsidRPr="00A733E0" w:rsidRDefault="00A733E0" w:rsidP="00CF5F34">
            <w:pPr>
              <w:spacing w:after="0" w:line="240" w:lineRule="auto"/>
              <w:jc w:val="center"/>
              <w:rPr>
                <w:rFonts w:ascii="Lato" w:hAnsi="Lato"/>
                <w:color w:val="000000"/>
                <w:lang w:eastAsia="en-GB"/>
              </w:rPr>
            </w:pPr>
            <w:r>
              <w:rPr>
                <w:rFonts w:ascii="Lato" w:hAnsi="Lato"/>
                <w:color w:val="000000"/>
                <w:lang w:eastAsia="en-GB"/>
              </w:rPr>
              <w:t>95</w:t>
            </w:r>
          </w:p>
        </w:tc>
        <w:tc>
          <w:tcPr>
            <w:tcW w:w="992" w:type="dxa"/>
            <w:tcBorders>
              <w:top w:val="nil"/>
              <w:left w:val="nil"/>
              <w:bottom w:val="single" w:sz="8" w:space="0" w:color="auto"/>
              <w:right w:val="single" w:sz="8" w:space="0" w:color="auto"/>
            </w:tcBorders>
            <w:shd w:val="clear" w:color="auto" w:fill="auto"/>
            <w:noWrap/>
            <w:vAlign w:val="center"/>
            <w:hideMark/>
          </w:tcPr>
          <w:p w14:paraId="2BF8DF63" w14:textId="79D4223D" w:rsidR="007E3F17" w:rsidRPr="00A733E0" w:rsidRDefault="007E3F17" w:rsidP="00CF5F34">
            <w:pPr>
              <w:spacing w:after="0" w:line="240" w:lineRule="auto"/>
              <w:jc w:val="center"/>
              <w:rPr>
                <w:rFonts w:ascii="Lato" w:hAnsi="Lato"/>
                <w:color w:val="000000"/>
                <w:lang w:eastAsia="en-GB"/>
              </w:rPr>
            </w:pPr>
            <w:r w:rsidRPr="00A733E0">
              <w:rPr>
                <w:rFonts w:ascii="Lato" w:hAnsi="Lato"/>
                <w:color w:val="000000"/>
                <w:lang w:eastAsia="en-GB"/>
              </w:rPr>
              <w:t>2</w:t>
            </w:r>
            <w:r w:rsidR="00A733E0">
              <w:rPr>
                <w:rFonts w:ascii="Lato" w:hAnsi="Lato"/>
                <w:color w:val="000000"/>
                <w:lang w:eastAsia="en-GB"/>
              </w:rPr>
              <w:t>7</w:t>
            </w:r>
          </w:p>
        </w:tc>
        <w:tc>
          <w:tcPr>
            <w:tcW w:w="851" w:type="dxa"/>
            <w:tcBorders>
              <w:top w:val="nil"/>
              <w:left w:val="nil"/>
              <w:bottom w:val="single" w:sz="8" w:space="0" w:color="auto"/>
              <w:right w:val="single" w:sz="8" w:space="0" w:color="auto"/>
            </w:tcBorders>
            <w:shd w:val="clear" w:color="auto" w:fill="auto"/>
            <w:noWrap/>
            <w:vAlign w:val="center"/>
            <w:hideMark/>
          </w:tcPr>
          <w:p w14:paraId="059EA6E5" w14:textId="19B5DCDC" w:rsidR="007E3F17" w:rsidRPr="00A733E0" w:rsidRDefault="007E3F17" w:rsidP="00CF5F34">
            <w:pPr>
              <w:spacing w:after="0" w:line="240" w:lineRule="auto"/>
              <w:jc w:val="center"/>
              <w:rPr>
                <w:rFonts w:ascii="Lato" w:hAnsi="Lato"/>
                <w:color w:val="000000"/>
                <w:lang w:eastAsia="en-GB"/>
              </w:rPr>
            </w:pPr>
            <w:r w:rsidRPr="00A733E0">
              <w:rPr>
                <w:rFonts w:ascii="Lato" w:hAnsi="Lato"/>
                <w:color w:val="000000"/>
                <w:lang w:eastAsia="en-GB"/>
              </w:rPr>
              <w:t>2</w:t>
            </w:r>
            <w:r w:rsidR="00A733E0">
              <w:rPr>
                <w:rFonts w:ascii="Lato" w:hAnsi="Lato"/>
                <w:color w:val="000000"/>
                <w:lang w:eastAsia="en-GB"/>
              </w:rPr>
              <w:t>3</w:t>
            </w:r>
          </w:p>
        </w:tc>
        <w:tc>
          <w:tcPr>
            <w:tcW w:w="850" w:type="dxa"/>
            <w:tcBorders>
              <w:top w:val="nil"/>
              <w:left w:val="nil"/>
              <w:bottom w:val="single" w:sz="8" w:space="0" w:color="auto"/>
              <w:right w:val="single" w:sz="8" w:space="0" w:color="auto"/>
            </w:tcBorders>
            <w:shd w:val="clear" w:color="auto" w:fill="auto"/>
            <w:noWrap/>
            <w:vAlign w:val="center"/>
            <w:hideMark/>
          </w:tcPr>
          <w:p w14:paraId="32754F12" w14:textId="025E47B9" w:rsidR="007E3F17" w:rsidRPr="00A733E0" w:rsidRDefault="00A733E0" w:rsidP="00A733E0">
            <w:pPr>
              <w:spacing w:after="0" w:line="240" w:lineRule="auto"/>
              <w:jc w:val="center"/>
              <w:rPr>
                <w:rFonts w:ascii="Lato" w:hAnsi="Lato"/>
                <w:color w:val="000000"/>
                <w:lang w:eastAsia="en-GB"/>
              </w:rPr>
            </w:pPr>
            <w:r>
              <w:rPr>
                <w:rFonts w:ascii="Lato" w:hAnsi="Lato"/>
                <w:color w:val="000000"/>
                <w:lang w:eastAsia="en-GB"/>
              </w:rPr>
              <w:t>5</w:t>
            </w:r>
          </w:p>
        </w:tc>
        <w:tc>
          <w:tcPr>
            <w:tcW w:w="851" w:type="dxa"/>
            <w:tcBorders>
              <w:top w:val="nil"/>
              <w:left w:val="nil"/>
              <w:bottom w:val="single" w:sz="8" w:space="0" w:color="auto"/>
              <w:right w:val="single" w:sz="8" w:space="0" w:color="auto"/>
            </w:tcBorders>
            <w:shd w:val="clear" w:color="000000" w:fill="D9D9D9"/>
            <w:noWrap/>
            <w:vAlign w:val="center"/>
            <w:hideMark/>
          </w:tcPr>
          <w:p w14:paraId="59674200" w14:textId="4E2AC35C" w:rsidR="007E3F17" w:rsidRPr="00A733E0" w:rsidRDefault="007E3F17" w:rsidP="007E3F17">
            <w:pPr>
              <w:spacing w:after="0" w:line="240" w:lineRule="auto"/>
              <w:jc w:val="center"/>
              <w:rPr>
                <w:rFonts w:ascii="Lato" w:hAnsi="Lato"/>
                <w:b/>
                <w:bCs/>
                <w:color w:val="000000"/>
                <w:lang w:eastAsia="en-GB"/>
              </w:rPr>
            </w:pPr>
            <w:r w:rsidRPr="00A733E0">
              <w:rPr>
                <w:rFonts w:ascii="Lato" w:hAnsi="Lato"/>
                <w:b/>
                <w:bCs/>
                <w:color w:val="000000"/>
                <w:lang w:eastAsia="en-GB"/>
              </w:rPr>
              <w:t>2</w:t>
            </w:r>
            <w:r w:rsidR="004A62EC">
              <w:rPr>
                <w:rFonts w:ascii="Lato" w:hAnsi="Lato"/>
                <w:b/>
                <w:bCs/>
                <w:color w:val="000000"/>
                <w:lang w:eastAsia="en-GB"/>
              </w:rPr>
              <w:t>91</w:t>
            </w:r>
          </w:p>
        </w:tc>
        <w:tc>
          <w:tcPr>
            <w:tcW w:w="1276" w:type="dxa"/>
            <w:tcBorders>
              <w:top w:val="nil"/>
              <w:left w:val="nil"/>
              <w:bottom w:val="single" w:sz="8" w:space="0" w:color="auto"/>
              <w:right w:val="single" w:sz="8" w:space="0" w:color="auto"/>
            </w:tcBorders>
            <w:shd w:val="clear" w:color="auto" w:fill="auto"/>
            <w:noWrap/>
            <w:vAlign w:val="center"/>
            <w:hideMark/>
          </w:tcPr>
          <w:p w14:paraId="695BD962" w14:textId="77777777" w:rsidR="007E3F17" w:rsidRPr="00A733E0" w:rsidRDefault="007E3F17" w:rsidP="007E3F17">
            <w:pPr>
              <w:spacing w:after="0" w:line="240" w:lineRule="auto"/>
              <w:jc w:val="center"/>
              <w:rPr>
                <w:rFonts w:ascii="Lato" w:hAnsi="Lato"/>
                <w:b/>
                <w:bCs/>
                <w:color w:val="000000"/>
                <w:lang w:eastAsia="en-GB"/>
              </w:rPr>
            </w:pPr>
            <w:r w:rsidRPr="00A733E0">
              <w:rPr>
                <w:rFonts w:ascii="Lato" w:hAnsi="Lato"/>
                <w:b/>
                <w:bCs/>
                <w:color w:val="000000"/>
                <w:lang w:eastAsia="en-GB"/>
              </w:rPr>
              <w:t>10%</w:t>
            </w:r>
          </w:p>
        </w:tc>
      </w:tr>
      <w:tr w:rsidR="004F5311" w:rsidRPr="007E3F17" w14:paraId="010B7DF0" w14:textId="77777777" w:rsidTr="00CF5F34">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7B173797" w14:textId="77777777" w:rsidR="007E3F17" w:rsidRPr="00A733E0" w:rsidRDefault="007E3F17" w:rsidP="007E3F17">
            <w:pPr>
              <w:spacing w:after="0" w:line="240" w:lineRule="auto"/>
              <w:rPr>
                <w:rFonts w:ascii="Lato" w:hAnsi="Lato"/>
                <w:b/>
                <w:bCs/>
                <w:color w:val="000000"/>
                <w:lang w:eastAsia="en-GB"/>
              </w:rPr>
            </w:pPr>
            <w:r w:rsidRPr="00A733E0">
              <w:rPr>
                <w:rFonts w:ascii="Lato" w:hAnsi="Lato"/>
                <w:b/>
                <w:bCs/>
                <w:color w:val="000000"/>
                <w:lang w:eastAsia="en-GB"/>
              </w:rPr>
              <w:t>Band B</w:t>
            </w:r>
          </w:p>
        </w:tc>
        <w:tc>
          <w:tcPr>
            <w:tcW w:w="929" w:type="dxa"/>
            <w:tcBorders>
              <w:top w:val="nil"/>
              <w:left w:val="nil"/>
              <w:bottom w:val="single" w:sz="8" w:space="0" w:color="auto"/>
              <w:right w:val="single" w:sz="8" w:space="0" w:color="auto"/>
            </w:tcBorders>
            <w:shd w:val="clear" w:color="auto" w:fill="auto"/>
            <w:noWrap/>
            <w:vAlign w:val="center"/>
            <w:hideMark/>
          </w:tcPr>
          <w:p w14:paraId="44BC85CE" w14:textId="55A691FE" w:rsidR="007E3F17" w:rsidRPr="00A733E0" w:rsidRDefault="00CB2519" w:rsidP="00CF5F34">
            <w:pPr>
              <w:spacing w:after="0" w:line="240" w:lineRule="auto"/>
              <w:jc w:val="center"/>
              <w:rPr>
                <w:rFonts w:ascii="Lato" w:hAnsi="Lato"/>
                <w:color w:val="000000"/>
                <w:lang w:eastAsia="en-GB"/>
              </w:rPr>
            </w:pPr>
            <w:r>
              <w:rPr>
                <w:rFonts w:ascii="Lato" w:hAnsi="Lato"/>
                <w:color w:val="000000"/>
                <w:lang w:eastAsia="en-GB"/>
              </w:rPr>
              <w:t>524</w:t>
            </w:r>
          </w:p>
        </w:tc>
        <w:tc>
          <w:tcPr>
            <w:tcW w:w="992" w:type="dxa"/>
            <w:tcBorders>
              <w:top w:val="nil"/>
              <w:left w:val="nil"/>
              <w:bottom w:val="single" w:sz="8" w:space="0" w:color="auto"/>
              <w:right w:val="single" w:sz="8" w:space="0" w:color="auto"/>
            </w:tcBorders>
            <w:shd w:val="clear" w:color="auto" w:fill="auto"/>
            <w:noWrap/>
            <w:vAlign w:val="center"/>
            <w:hideMark/>
          </w:tcPr>
          <w:p w14:paraId="0F6603AF" w14:textId="35977CD1" w:rsidR="007E3F17" w:rsidRPr="00A733E0" w:rsidRDefault="007E3F17" w:rsidP="00CF5F34">
            <w:pPr>
              <w:spacing w:after="0" w:line="240" w:lineRule="auto"/>
              <w:jc w:val="center"/>
              <w:rPr>
                <w:rFonts w:ascii="Lato" w:hAnsi="Lato"/>
                <w:color w:val="000000"/>
                <w:lang w:eastAsia="en-GB"/>
              </w:rPr>
            </w:pPr>
            <w:r w:rsidRPr="00A733E0">
              <w:rPr>
                <w:rFonts w:ascii="Lato" w:hAnsi="Lato"/>
                <w:color w:val="000000"/>
                <w:lang w:eastAsia="en-GB"/>
              </w:rPr>
              <w:t>38</w:t>
            </w:r>
            <w:r w:rsidR="0001432C">
              <w:rPr>
                <w:rFonts w:ascii="Lato" w:hAnsi="Lato"/>
                <w:color w:val="000000"/>
                <w:lang w:eastAsia="en-GB"/>
              </w:rPr>
              <w:t>5</w:t>
            </w:r>
          </w:p>
        </w:tc>
        <w:tc>
          <w:tcPr>
            <w:tcW w:w="992" w:type="dxa"/>
            <w:tcBorders>
              <w:top w:val="nil"/>
              <w:left w:val="nil"/>
              <w:bottom w:val="single" w:sz="8" w:space="0" w:color="auto"/>
              <w:right w:val="single" w:sz="8" w:space="0" w:color="auto"/>
            </w:tcBorders>
            <w:shd w:val="clear" w:color="auto" w:fill="auto"/>
            <w:noWrap/>
            <w:vAlign w:val="center"/>
            <w:hideMark/>
          </w:tcPr>
          <w:p w14:paraId="57A80DDD" w14:textId="77777777" w:rsidR="007E3F17" w:rsidRPr="00A733E0" w:rsidRDefault="007E3F17" w:rsidP="00CF5F34">
            <w:pPr>
              <w:spacing w:after="0" w:line="240" w:lineRule="auto"/>
              <w:jc w:val="center"/>
              <w:rPr>
                <w:rFonts w:ascii="Lato" w:hAnsi="Lato"/>
                <w:color w:val="000000"/>
                <w:lang w:eastAsia="en-GB"/>
              </w:rPr>
            </w:pPr>
            <w:r w:rsidRPr="00A733E0">
              <w:rPr>
                <w:rFonts w:ascii="Lato" w:hAnsi="Lato"/>
                <w:color w:val="000000"/>
                <w:lang w:eastAsia="en-GB"/>
              </w:rPr>
              <w:t>228</w:t>
            </w:r>
          </w:p>
        </w:tc>
        <w:tc>
          <w:tcPr>
            <w:tcW w:w="851" w:type="dxa"/>
            <w:tcBorders>
              <w:top w:val="nil"/>
              <w:left w:val="nil"/>
              <w:bottom w:val="single" w:sz="8" w:space="0" w:color="auto"/>
              <w:right w:val="single" w:sz="8" w:space="0" w:color="auto"/>
            </w:tcBorders>
            <w:shd w:val="clear" w:color="auto" w:fill="auto"/>
            <w:noWrap/>
            <w:vAlign w:val="center"/>
            <w:hideMark/>
          </w:tcPr>
          <w:p w14:paraId="6528C773" w14:textId="5E643A6D" w:rsidR="007E3F17" w:rsidRPr="00A733E0" w:rsidRDefault="007E3F17" w:rsidP="00CF5F34">
            <w:pPr>
              <w:spacing w:after="0" w:line="240" w:lineRule="auto"/>
              <w:jc w:val="center"/>
              <w:rPr>
                <w:rFonts w:ascii="Lato" w:hAnsi="Lato"/>
                <w:color w:val="000000"/>
                <w:lang w:eastAsia="en-GB"/>
              </w:rPr>
            </w:pPr>
            <w:r w:rsidRPr="00A733E0">
              <w:rPr>
                <w:rFonts w:ascii="Lato" w:hAnsi="Lato"/>
                <w:color w:val="000000"/>
                <w:lang w:eastAsia="en-GB"/>
              </w:rPr>
              <w:t>8</w:t>
            </w:r>
            <w:r w:rsidR="004A62EC">
              <w:rPr>
                <w:rFonts w:ascii="Lato" w:hAnsi="Lato"/>
                <w:color w:val="000000"/>
                <w:lang w:eastAsia="en-GB"/>
              </w:rPr>
              <w:t>5</w:t>
            </w:r>
          </w:p>
        </w:tc>
        <w:tc>
          <w:tcPr>
            <w:tcW w:w="850" w:type="dxa"/>
            <w:tcBorders>
              <w:top w:val="nil"/>
              <w:left w:val="nil"/>
              <w:bottom w:val="single" w:sz="8" w:space="0" w:color="auto"/>
              <w:right w:val="single" w:sz="8" w:space="0" w:color="auto"/>
            </w:tcBorders>
            <w:shd w:val="clear" w:color="auto" w:fill="auto"/>
            <w:noWrap/>
            <w:vAlign w:val="center"/>
            <w:hideMark/>
          </w:tcPr>
          <w:p w14:paraId="687883C1" w14:textId="77777777" w:rsidR="007E3F17" w:rsidRPr="00A733E0" w:rsidRDefault="007E3F17" w:rsidP="00CF5F34">
            <w:pPr>
              <w:spacing w:after="0" w:line="240" w:lineRule="auto"/>
              <w:jc w:val="center"/>
              <w:rPr>
                <w:rFonts w:ascii="Lato" w:hAnsi="Lato"/>
                <w:color w:val="000000"/>
                <w:lang w:eastAsia="en-GB"/>
              </w:rPr>
            </w:pPr>
            <w:r w:rsidRPr="00A733E0">
              <w:rPr>
                <w:rFonts w:ascii="Lato" w:hAnsi="Lato"/>
                <w:color w:val="000000"/>
                <w:lang w:eastAsia="en-GB"/>
              </w:rPr>
              <w:t>1</w:t>
            </w:r>
          </w:p>
        </w:tc>
        <w:tc>
          <w:tcPr>
            <w:tcW w:w="851" w:type="dxa"/>
            <w:tcBorders>
              <w:top w:val="nil"/>
              <w:left w:val="nil"/>
              <w:bottom w:val="single" w:sz="8" w:space="0" w:color="auto"/>
              <w:right w:val="single" w:sz="8" w:space="0" w:color="auto"/>
            </w:tcBorders>
            <w:shd w:val="clear" w:color="000000" w:fill="D9D9D9"/>
            <w:noWrap/>
            <w:vAlign w:val="center"/>
            <w:hideMark/>
          </w:tcPr>
          <w:p w14:paraId="7263826A" w14:textId="6A7A0509" w:rsidR="007E3F17" w:rsidRPr="00A733E0" w:rsidRDefault="004A62EC" w:rsidP="007E3F17">
            <w:pPr>
              <w:spacing w:after="0" w:line="240" w:lineRule="auto"/>
              <w:jc w:val="center"/>
              <w:rPr>
                <w:rFonts w:ascii="Lato" w:hAnsi="Lato"/>
                <w:b/>
                <w:bCs/>
                <w:color w:val="000000"/>
                <w:lang w:eastAsia="en-GB"/>
              </w:rPr>
            </w:pPr>
            <w:r>
              <w:rPr>
                <w:rFonts w:ascii="Lato" w:hAnsi="Lato"/>
                <w:b/>
                <w:bCs/>
                <w:color w:val="000000"/>
                <w:lang w:eastAsia="en-GB"/>
              </w:rPr>
              <w:t>1223</w:t>
            </w:r>
          </w:p>
        </w:tc>
        <w:tc>
          <w:tcPr>
            <w:tcW w:w="1276" w:type="dxa"/>
            <w:tcBorders>
              <w:top w:val="nil"/>
              <w:left w:val="nil"/>
              <w:bottom w:val="single" w:sz="8" w:space="0" w:color="auto"/>
              <w:right w:val="single" w:sz="8" w:space="0" w:color="auto"/>
            </w:tcBorders>
            <w:shd w:val="clear" w:color="auto" w:fill="auto"/>
            <w:noWrap/>
            <w:vAlign w:val="center"/>
            <w:hideMark/>
          </w:tcPr>
          <w:p w14:paraId="6E8F0DA6" w14:textId="00157AA1" w:rsidR="007E3F17" w:rsidRPr="00A733E0" w:rsidRDefault="007E3F17" w:rsidP="007E3F17">
            <w:pPr>
              <w:spacing w:after="0" w:line="240" w:lineRule="auto"/>
              <w:jc w:val="center"/>
              <w:rPr>
                <w:rFonts w:ascii="Lato" w:hAnsi="Lato"/>
                <w:b/>
                <w:bCs/>
                <w:color w:val="000000"/>
                <w:lang w:eastAsia="en-GB"/>
              </w:rPr>
            </w:pPr>
            <w:r w:rsidRPr="00A733E0">
              <w:rPr>
                <w:rFonts w:ascii="Lato" w:hAnsi="Lato"/>
                <w:b/>
                <w:bCs/>
                <w:color w:val="000000"/>
                <w:lang w:eastAsia="en-GB"/>
              </w:rPr>
              <w:t>4</w:t>
            </w:r>
            <w:r w:rsidR="004A62EC">
              <w:rPr>
                <w:rFonts w:ascii="Lato" w:hAnsi="Lato"/>
                <w:b/>
                <w:bCs/>
                <w:color w:val="000000"/>
                <w:lang w:eastAsia="en-GB"/>
              </w:rPr>
              <w:t>9</w:t>
            </w:r>
            <w:r w:rsidRPr="00A733E0">
              <w:rPr>
                <w:rFonts w:ascii="Lato" w:hAnsi="Lato"/>
                <w:b/>
                <w:bCs/>
                <w:color w:val="000000"/>
                <w:lang w:eastAsia="en-GB"/>
              </w:rPr>
              <w:t>%</w:t>
            </w:r>
          </w:p>
        </w:tc>
      </w:tr>
      <w:tr w:rsidR="004F5311" w:rsidRPr="007E3F17" w14:paraId="3D8EC929" w14:textId="77777777" w:rsidTr="00CF5F34">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30EB1191" w14:textId="77777777" w:rsidR="007E3F17" w:rsidRPr="00A733E0" w:rsidRDefault="007E3F17" w:rsidP="007E3F17">
            <w:pPr>
              <w:spacing w:after="0" w:line="240" w:lineRule="auto"/>
              <w:rPr>
                <w:rFonts w:ascii="Lato" w:hAnsi="Lato"/>
                <w:b/>
                <w:bCs/>
                <w:color w:val="000000"/>
                <w:lang w:eastAsia="en-GB"/>
              </w:rPr>
            </w:pPr>
            <w:r w:rsidRPr="00A733E0">
              <w:rPr>
                <w:rFonts w:ascii="Lato" w:hAnsi="Lato"/>
                <w:b/>
                <w:bCs/>
                <w:color w:val="000000"/>
                <w:lang w:eastAsia="en-GB"/>
              </w:rPr>
              <w:t>Band C</w:t>
            </w:r>
          </w:p>
        </w:tc>
        <w:tc>
          <w:tcPr>
            <w:tcW w:w="929" w:type="dxa"/>
            <w:tcBorders>
              <w:top w:val="nil"/>
              <w:left w:val="nil"/>
              <w:bottom w:val="single" w:sz="8" w:space="0" w:color="auto"/>
              <w:right w:val="single" w:sz="8" w:space="0" w:color="auto"/>
            </w:tcBorders>
            <w:shd w:val="clear" w:color="auto" w:fill="auto"/>
            <w:noWrap/>
            <w:vAlign w:val="center"/>
            <w:hideMark/>
          </w:tcPr>
          <w:p w14:paraId="450DB60D" w14:textId="78BF8DF7" w:rsidR="007E3F17" w:rsidRPr="00A733E0" w:rsidRDefault="007E3F17" w:rsidP="00CF5F34">
            <w:pPr>
              <w:spacing w:after="0" w:line="240" w:lineRule="auto"/>
              <w:jc w:val="center"/>
              <w:rPr>
                <w:rFonts w:ascii="Lato" w:hAnsi="Lato"/>
                <w:color w:val="000000"/>
                <w:lang w:eastAsia="en-GB"/>
              </w:rPr>
            </w:pPr>
            <w:r w:rsidRPr="00A733E0">
              <w:rPr>
                <w:rFonts w:ascii="Lato" w:hAnsi="Lato"/>
                <w:color w:val="000000"/>
                <w:lang w:eastAsia="en-GB"/>
              </w:rPr>
              <w:t>5</w:t>
            </w:r>
            <w:r w:rsidR="00CB2519">
              <w:rPr>
                <w:rFonts w:ascii="Lato" w:hAnsi="Lato"/>
                <w:color w:val="000000"/>
                <w:lang w:eastAsia="en-GB"/>
              </w:rPr>
              <w:t>87</w:t>
            </w:r>
          </w:p>
        </w:tc>
        <w:tc>
          <w:tcPr>
            <w:tcW w:w="992" w:type="dxa"/>
            <w:tcBorders>
              <w:top w:val="nil"/>
              <w:left w:val="nil"/>
              <w:bottom w:val="single" w:sz="8" w:space="0" w:color="auto"/>
              <w:right w:val="single" w:sz="8" w:space="0" w:color="auto"/>
            </w:tcBorders>
            <w:shd w:val="clear" w:color="auto" w:fill="auto"/>
            <w:noWrap/>
            <w:vAlign w:val="center"/>
            <w:hideMark/>
          </w:tcPr>
          <w:p w14:paraId="3A0DF5EA" w14:textId="347B21CC" w:rsidR="007E3F17" w:rsidRPr="00A733E0" w:rsidRDefault="007E3F17" w:rsidP="00CF5F34">
            <w:pPr>
              <w:spacing w:after="0" w:line="240" w:lineRule="auto"/>
              <w:jc w:val="center"/>
              <w:rPr>
                <w:rFonts w:ascii="Lato" w:hAnsi="Lato"/>
                <w:color w:val="000000"/>
                <w:lang w:eastAsia="en-GB"/>
              </w:rPr>
            </w:pPr>
            <w:r w:rsidRPr="00A733E0">
              <w:rPr>
                <w:rFonts w:ascii="Lato" w:hAnsi="Lato"/>
                <w:color w:val="000000"/>
                <w:lang w:eastAsia="en-GB"/>
              </w:rPr>
              <w:t>4</w:t>
            </w:r>
            <w:r w:rsidR="00CB2519">
              <w:rPr>
                <w:rFonts w:ascii="Lato" w:hAnsi="Lato"/>
                <w:color w:val="000000"/>
                <w:lang w:eastAsia="en-GB"/>
              </w:rPr>
              <w:t>34</w:t>
            </w:r>
          </w:p>
        </w:tc>
        <w:tc>
          <w:tcPr>
            <w:tcW w:w="992" w:type="dxa"/>
            <w:tcBorders>
              <w:top w:val="nil"/>
              <w:left w:val="nil"/>
              <w:bottom w:val="single" w:sz="8" w:space="0" w:color="auto"/>
              <w:right w:val="single" w:sz="8" w:space="0" w:color="auto"/>
            </w:tcBorders>
            <w:shd w:val="clear" w:color="auto" w:fill="auto"/>
            <w:noWrap/>
            <w:vAlign w:val="center"/>
            <w:hideMark/>
          </w:tcPr>
          <w:p w14:paraId="449FE46E" w14:textId="64ED19AA" w:rsidR="007E3F17" w:rsidRPr="00A733E0" w:rsidRDefault="007E3F17" w:rsidP="00CF5F34">
            <w:pPr>
              <w:spacing w:after="0" w:line="240" w:lineRule="auto"/>
              <w:jc w:val="center"/>
              <w:rPr>
                <w:rFonts w:ascii="Lato" w:hAnsi="Lato"/>
                <w:color w:val="000000"/>
                <w:lang w:eastAsia="en-GB"/>
              </w:rPr>
            </w:pPr>
            <w:r w:rsidRPr="00A733E0">
              <w:rPr>
                <w:rFonts w:ascii="Lato" w:hAnsi="Lato"/>
                <w:color w:val="000000"/>
                <w:lang w:eastAsia="en-GB"/>
              </w:rPr>
              <w:t>1</w:t>
            </w:r>
            <w:r w:rsidR="004A62EC">
              <w:rPr>
                <w:rFonts w:ascii="Lato" w:hAnsi="Lato"/>
                <w:color w:val="000000"/>
                <w:lang w:eastAsia="en-GB"/>
              </w:rPr>
              <w:t>53</w:t>
            </w:r>
          </w:p>
        </w:tc>
        <w:tc>
          <w:tcPr>
            <w:tcW w:w="851" w:type="dxa"/>
            <w:tcBorders>
              <w:top w:val="nil"/>
              <w:left w:val="nil"/>
              <w:bottom w:val="single" w:sz="8" w:space="0" w:color="auto"/>
              <w:right w:val="single" w:sz="8" w:space="0" w:color="auto"/>
            </w:tcBorders>
            <w:shd w:val="clear" w:color="auto" w:fill="auto"/>
            <w:noWrap/>
            <w:vAlign w:val="center"/>
            <w:hideMark/>
          </w:tcPr>
          <w:p w14:paraId="450B224F" w14:textId="2D7C01FE" w:rsidR="007E3F17" w:rsidRPr="00A733E0" w:rsidRDefault="007E3F17" w:rsidP="00CF5F34">
            <w:pPr>
              <w:spacing w:after="0" w:line="240" w:lineRule="auto"/>
              <w:jc w:val="center"/>
              <w:rPr>
                <w:rFonts w:ascii="Lato" w:hAnsi="Lato"/>
                <w:color w:val="000000"/>
                <w:lang w:eastAsia="en-GB"/>
              </w:rPr>
            </w:pPr>
            <w:r w:rsidRPr="00A733E0">
              <w:rPr>
                <w:rFonts w:ascii="Lato" w:hAnsi="Lato"/>
                <w:color w:val="000000"/>
                <w:lang w:eastAsia="en-GB"/>
              </w:rPr>
              <w:t>1</w:t>
            </w:r>
            <w:r w:rsidR="004A62EC">
              <w:rPr>
                <w:rFonts w:ascii="Lato" w:hAnsi="Lato"/>
                <w:color w:val="000000"/>
                <w:lang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572FFC13" w14:textId="31BF15D8" w:rsidR="007E3F17" w:rsidRPr="00A733E0" w:rsidRDefault="00CF5F34" w:rsidP="00CF5F34">
            <w:pPr>
              <w:spacing w:after="0" w:line="240" w:lineRule="auto"/>
              <w:jc w:val="center"/>
              <w:rPr>
                <w:rFonts w:ascii="Lato" w:hAnsi="Lato"/>
                <w:color w:val="000000"/>
                <w:lang w:eastAsia="en-GB"/>
              </w:rPr>
            </w:pPr>
            <w:r w:rsidRPr="00A733E0">
              <w:rPr>
                <w:rFonts w:ascii="Lato" w:hAnsi="Lato"/>
                <w:color w:val="000000"/>
                <w:lang w:eastAsia="en-GB"/>
              </w:rPr>
              <w:t>0</w:t>
            </w:r>
          </w:p>
        </w:tc>
        <w:tc>
          <w:tcPr>
            <w:tcW w:w="851" w:type="dxa"/>
            <w:tcBorders>
              <w:top w:val="nil"/>
              <w:left w:val="nil"/>
              <w:bottom w:val="single" w:sz="8" w:space="0" w:color="auto"/>
              <w:right w:val="single" w:sz="8" w:space="0" w:color="auto"/>
            </w:tcBorders>
            <w:shd w:val="clear" w:color="000000" w:fill="D9D9D9"/>
            <w:noWrap/>
            <w:vAlign w:val="center"/>
            <w:hideMark/>
          </w:tcPr>
          <w:p w14:paraId="66E65AC3" w14:textId="3E1F19C9" w:rsidR="007E3F17" w:rsidRPr="00A733E0" w:rsidRDefault="004A62EC" w:rsidP="007E3F17">
            <w:pPr>
              <w:spacing w:after="0" w:line="240" w:lineRule="auto"/>
              <w:jc w:val="center"/>
              <w:rPr>
                <w:rFonts w:ascii="Lato" w:hAnsi="Lato"/>
                <w:b/>
                <w:bCs/>
                <w:color w:val="000000"/>
                <w:lang w:eastAsia="en-GB"/>
              </w:rPr>
            </w:pPr>
            <w:r>
              <w:rPr>
                <w:rFonts w:ascii="Lato" w:hAnsi="Lato"/>
                <w:b/>
                <w:bCs/>
                <w:color w:val="000000"/>
                <w:lang w:eastAsia="en-GB"/>
              </w:rPr>
              <w:t>1185</w:t>
            </w:r>
          </w:p>
        </w:tc>
        <w:tc>
          <w:tcPr>
            <w:tcW w:w="1276" w:type="dxa"/>
            <w:tcBorders>
              <w:top w:val="nil"/>
              <w:left w:val="nil"/>
              <w:bottom w:val="single" w:sz="8" w:space="0" w:color="auto"/>
              <w:right w:val="single" w:sz="8" w:space="0" w:color="auto"/>
            </w:tcBorders>
            <w:shd w:val="clear" w:color="auto" w:fill="auto"/>
            <w:noWrap/>
            <w:vAlign w:val="center"/>
            <w:hideMark/>
          </w:tcPr>
          <w:p w14:paraId="2E34E054" w14:textId="51FFD792" w:rsidR="007E3F17" w:rsidRPr="00A733E0" w:rsidRDefault="007E3F17" w:rsidP="007E3F17">
            <w:pPr>
              <w:spacing w:after="0" w:line="240" w:lineRule="auto"/>
              <w:jc w:val="center"/>
              <w:rPr>
                <w:rFonts w:ascii="Lato" w:hAnsi="Lato"/>
                <w:b/>
                <w:bCs/>
                <w:color w:val="000000"/>
                <w:lang w:eastAsia="en-GB"/>
              </w:rPr>
            </w:pPr>
            <w:r w:rsidRPr="00A733E0">
              <w:rPr>
                <w:rFonts w:ascii="Lato" w:hAnsi="Lato"/>
                <w:b/>
                <w:bCs/>
                <w:color w:val="000000"/>
                <w:lang w:eastAsia="en-GB"/>
              </w:rPr>
              <w:t>4</w:t>
            </w:r>
            <w:r w:rsidR="004A62EC">
              <w:rPr>
                <w:rFonts w:ascii="Lato" w:hAnsi="Lato"/>
                <w:b/>
                <w:bCs/>
                <w:color w:val="000000"/>
                <w:lang w:eastAsia="en-GB"/>
              </w:rPr>
              <w:t>1</w:t>
            </w:r>
            <w:r w:rsidRPr="00A733E0">
              <w:rPr>
                <w:rFonts w:ascii="Lato" w:hAnsi="Lato"/>
                <w:b/>
                <w:bCs/>
                <w:color w:val="000000"/>
                <w:lang w:eastAsia="en-GB"/>
              </w:rPr>
              <w:t>%</w:t>
            </w:r>
          </w:p>
        </w:tc>
      </w:tr>
      <w:tr w:rsidR="004F5311" w:rsidRPr="007E3F17" w14:paraId="114C6B79" w14:textId="77777777" w:rsidTr="00CF5F34">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29C81126" w14:textId="77777777" w:rsidR="007E3F17" w:rsidRPr="00A733E0" w:rsidRDefault="007E3F17" w:rsidP="007E3F17">
            <w:pPr>
              <w:spacing w:after="0" w:line="240" w:lineRule="auto"/>
              <w:rPr>
                <w:rFonts w:ascii="Lato" w:hAnsi="Lato"/>
                <w:color w:val="000000"/>
                <w:lang w:eastAsia="en-GB"/>
              </w:rPr>
            </w:pPr>
            <w:r w:rsidRPr="00A733E0">
              <w:rPr>
                <w:rFonts w:ascii="Lato" w:hAnsi="Lato"/>
                <w:color w:val="000000"/>
                <w:lang w:eastAsia="en-GB"/>
              </w:rPr>
              <w:t> </w:t>
            </w:r>
          </w:p>
        </w:tc>
        <w:tc>
          <w:tcPr>
            <w:tcW w:w="929" w:type="dxa"/>
            <w:tcBorders>
              <w:top w:val="nil"/>
              <w:left w:val="nil"/>
              <w:bottom w:val="single" w:sz="8" w:space="0" w:color="auto"/>
              <w:right w:val="single" w:sz="8" w:space="0" w:color="auto"/>
            </w:tcBorders>
            <w:shd w:val="clear" w:color="auto" w:fill="auto"/>
            <w:noWrap/>
            <w:vAlign w:val="center"/>
            <w:hideMark/>
          </w:tcPr>
          <w:p w14:paraId="7B469DD1" w14:textId="469F89E4" w:rsidR="007E3F17" w:rsidRPr="00A733E0" w:rsidRDefault="007E3F17" w:rsidP="00CF5F34">
            <w:pPr>
              <w:spacing w:after="0" w:line="240" w:lineRule="auto"/>
              <w:jc w:val="center"/>
              <w:rPr>
                <w:rFonts w:ascii="Lato" w:hAnsi="Lato"/>
                <w:color w:val="000000"/>
                <w:lang w:eastAsia="en-GB"/>
              </w:rPr>
            </w:pPr>
          </w:p>
        </w:tc>
        <w:tc>
          <w:tcPr>
            <w:tcW w:w="992" w:type="dxa"/>
            <w:tcBorders>
              <w:top w:val="nil"/>
              <w:left w:val="nil"/>
              <w:bottom w:val="single" w:sz="8" w:space="0" w:color="auto"/>
              <w:right w:val="single" w:sz="8" w:space="0" w:color="auto"/>
            </w:tcBorders>
            <w:shd w:val="clear" w:color="auto" w:fill="auto"/>
            <w:noWrap/>
            <w:vAlign w:val="center"/>
            <w:hideMark/>
          </w:tcPr>
          <w:p w14:paraId="5F2151E9" w14:textId="7179C8C4" w:rsidR="007E3F17" w:rsidRPr="00A733E0" w:rsidRDefault="007E3F17" w:rsidP="00CF5F34">
            <w:pPr>
              <w:spacing w:after="0" w:line="240" w:lineRule="auto"/>
              <w:jc w:val="center"/>
              <w:rPr>
                <w:rFonts w:ascii="Lato" w:hAnsi="Lato"/>
                <w:color w:val="000000"/>
                <w:lang w:eastAsia="en-GB"/>
              </w:rPr>
            </w:pPr>
          </w:p>
        </w:tc>
        <w:tc>
          <w:tcPr>
            <w:tcW w:w="992" w:type="dxa"/>
            <w:tcBorders>
              <w:top w:val="nil"/>
              <w:left w:val="nil"/>
              <w:bottom w:val="single" w:sz="8" w:space="0" w:color="auto"/>
              <w:right w:val="single" w:sz="8" w:space="0" w:color="auto"/>
            </w:tcBorders>
            <w:shd w:val="clear" w:color="auto" w:fill="auto"/>
            <w:noWrap/>
            <w:vAlign w:val="center"/>
            <w:hideMark/>
          </w:tcPr>
          <w:p w14:paraId="1C504292" w14:textId="6817F858" w:rsidR="007E3F17" w:rsidRPr="00A733E0" w:rsidRDefault="007E3F17" w:rsidP="00CF5F34">
            <w:pPr>
              <w:spacing w:after="0" w:line="240" w:lineRule="auto"/>
              <w:jc w:val="center"/>
              <w:rPr>
                <w:rFonts w:ascii="Lato" w:hAnsi="Lato"/>
                <w:color w:val="000000"/>
                <w:lang w:eastAsia="en-GB"/>
              </w:rPr>
            </w:pPr>
          </w:p>
        </w:tc>
        <w:tc>
          <w:tcPr>
            <w:tcW w:w="851" w:type="dxa"/>
            <w:tcBorders>
              <w:top w:val="nil"/>
              <w:left w:val="nil"/>
              <w:bottom w:val="single" w:sz="8" w:space="0" w:color="auto"/>
              <w:right w:val="single" w:sz="8" w:space="0" w:color="auto"/>
            </w:tcBorders>
            <w:shd w:val="clear" w:color="auto" w:fill="auto"/>
            <w:noWrap/>
            <w:vAlign w:val="center"/>
            <w:hideMark/>
          </w:tcPr>
          <w:p w14:paraId="4E16963B" w14:textId="7A9F2C98" w:rsidR="007E3F17" w:rsidRPr="00A733E0" w:rsidRDefault="007E3F17" w:rsidP="00CF5F34">
            <w:pPr>
              <w:spacing w:after="0" w:line="240" w:lineRule="auto"/>
              <w:jc w:val="center"/>
              <w:rPr>
                <w:rFonts w:ascii="Lato" w:hAnsi="Lato"/>
                <w:color w:val="000000"/>
                <w:lang w:eastAsia="en-GB"/>
              </w:rPr>
            </w:pPr>
          </w:p>
        </w:tc>
        <w:tc>
          <w:tcPr>
            <w:tcW w:w="850" w:type="dxa"/>
            <w:tcBorders>
              <w:top w:val="nil"/>
              <w:left w:val="nil"/>
              <w:bottom w:val="single" w:sz="8" w:space="0" w:color="auto"/>
              <w:right w:val="single" w:sz="8" w:space="0" w:color="auto"/>
            </w:tcBorders>
            <w:shd w:val="clear" w:color="auto" w:fill="auto"/>
            <w:noWrap/>
            <w:vAlign w:val="center"/>
            <w:hideMark/>
          </w:tcPr>
          <w:p w14:paraId="538E424E" w14:textId="477EC13F" w:rsidR="007E3F17" w:rsidRPr="00A733E0" w:rsidRDefault="007E3F17" w:rsidP="00CF5F34">
            <w:pPr>
              <w:spacing w:after="0" w:line="240" w:lineRule="auto"/>
              <w:jc w:val="center"/>
              <w:rPr>
                <w:rFonts w:ascii="Lato" w:hAnsi="Lato"/>
                <w:color w:val="000000"/>
                <w:lang w:eastAsia="en-GB"/>
              </w:rPr>
            </w:pPr>
          </w:p>
        </w:tc>
        <w:tc>
          <w:tcPr>
            <w:tcW w:w="851" w:type="dxa"/>
            <w:tcBorders>
              <w:top w:val="nil"/>
              <w:left w:val="nil"/>
              <w:bottom w:val="single" w:sz="8" w:space="0" w:color="auto"/>
              <w:right w:val="single" w:sz="8" w:space="0" w:color="auto"/>
            </w:tcBorders>
            <w:shd w:val="clear" w:color="auto" w:fill="auto"/>
            <w:noWrap/>
            <w:vAlign w:val="center"/>
            <w:hideMark/>
          </w:tcPr>
          <w:p w14:paraId="13928141" w14:textId="77777777" w:rsidR="007E3F17" w:rsidRPr="00A733E0" w:rsidRDefault="007E3F17" w:rsidP="007E3F17">
            <w:pPr>
              <w:spacing w:after="0" w:line="240" w:lineRule="auto"/>
              <w:jc w:val="center"/>
              <w:rPr>
                <w:rFonts w:ascii="Lato" w:hAnsi="Lato"/>
                <w:color w:val="000000"/>
                <w:lang w:eastAsia="en-GB"/>
              </w:rPr>
            </w:pPr>
            <w:r w:rsidRPr="00A733E0">
              <w:rPr>
                <w:rFonts w:ascii="Lato" w:hAnsi="Lato"/>
                <w:color w:val="000000"/>
                <w:lang w:eastAsia="en-GB"/>
              </w:rPr>
              <w:t> </w:t>
            </w:r>
          </w:p>
        </w:tc>
        <w:tc>
          <w:tcPr>
            <w:tcW w:w="1276" w:type="dxa"/>
            <w:tcBorders>
              <w:top w:val="nil"/>
              <w:left w:val="nil"/>
              <w:bottom w:val="single" w:sz="8" w:space="0" w:color="auto"/>
              <w:right w:val="single" w:sz="8" w:space="0" w:color="auto"/>
            </w:tcBorders>
            <w:shd w:val="clear" w:color="auto" w:fill="auto"/>
            <w:noWrap/>
            <w:vAlign w:val="center"/>
            <w:hideMark/>
          </w:tcPr>
          <w:p w14:paraId="7675690F" w14:textId="77777777" w:rsidR="007E3F17" w:rsidRPr="00A733E0" w:rsidRDefault="007E3F17" w:rsidP="007E3F17">
            <w:pPr>
              <w:spacing w:after="0" w:line="240" w:lineRule="auto"/>
              <w:rPr>
                <w:rFonts w:ascii="Lato" w:hAnsi="Lato"/>
                <w:b/>
                <w:bCs/>
                <w:color w:val="000000"/>
                <w:lang w:eastAsia="en-GB"/>
              </w:rPr>
            </w:pPr>
            <w:r w:rsidRPr="00A733E0">
              <w:rPr>
                <w:rFonts w:ascii="Lato" w:hAnsi="Lato"/>
                <w:b/>
                <w:bCs/>
                <w:color w:val="000000"/>
                <w:lang w:eastAsia="en-GB"/>
              </w:rPr>
              <w:t> </w:t>
            </w:r>
          </w:p>
        </w:tc>
      </w:tr>
      <w:tr w:rsidR="004F5311" w:rsidRPr="007E3F17" w14:paraId="6EC36D47" w14:textId="77777777" w:rsidTr="00CF5F34">
        <w:trPr>
          <w:trHeight w:val="300"/>
        </w:trPr>
        <w:tc>
          <w:tcPr>
            <w:tcW w:w="2180" w:type="dxa"/>
            <w:tcBorders>
              <w:top w:val="nil"/>
              <w:left w:val="single" w:sz="8" w:space="0" w:color="auto"/>
              <w:bottom w:val="single" w:sz="8" w:space="0" w:color="auto"/>
              <w:right w:val="single" w:sz="8" w:space="0" w:color="auto"/>
            </w:tcBorders>
            <w:shd w:val="clear" w:color="000000" w:fill="D9D9D9"/>
            <w:noWrap/>
            <w:vAlign w:val="center"/>
            <w:hideMark/>
          </w:tcPr>
          <w:p w14:paraId="3BC3C0B9" w14:textId="77777777" w:rsidR="007E3F17" w:rsidRPr="00A733E0" w:rsidRDefault="007E3F17" w:rsidP="007E3F17">
            <w:pPr>
              <w:spacing w:after="0" w:line="240" w:lineRule="auto"/>
              <w:rPr>
                <w:rFonts w:ascii="Lato" w:hAnsi="Lato"/>
                <w:b/>
                <w:bCs/>
                <w:color w:val="000000"/>
                <w:lang w:eastAsia="en-GB"/>
              </w:rPr>
            </w:pPr>
            <w:r w:rsidRPr="00A733E0">
              <w:rPr>
                <w:rFonts w:ascii="Lato" w:hAnsi="Lato"/>
                <w:b/>
                <w:bCs/>
                <w:color w:val="000000"/>
                <w:lang w:eastAsia="en-GB"/>
              </w:rPr>
              <w:t>Total</w:t>
            </w:r>
          </w:p>
        </w:tc>
        <w:tc>
          <w:tcPr>
            <w:tcW w:w="929" w:type="dxa"/>
            <w:tcBorders>
              <w:top w:val="nil"/>
              <w:left w:val="nil"/>
              <w:bottom w:val="single" w:sz="8" w:space="0" w:color="auto"/>
              <w:right w:val="single" w:sz="8" w:space="0" w:color="auto"/>
            </w:tcBorders>
            <w:shd w:val="clear" w:color="000000" w:fill="D9D9D9"/>
            <w:noWrap/>
            <w:vAlign w:val="center"/>
            <w:hideMark/>
          </w:tcPr>
          <w:p w14:paraId="5FC542C9" w14:textId="2A3EF563" w:rsidR="007E3F17" w:rsidRPr="00A733E0" w:rsidRDefault="007E3F17" w:rsidP="00CF5F34">
            <w:pPr>
              <w:spacing w:after="0" w:line="240" w:lineRule="auto"/>
              <w:jc w:val="center"/>
              <w:rPr>
                <w:rFonts w:ascii="Lato" w:hAnsi="Lato"/>
                <w:b/>
                <w:bCs/>
                <w:color w:val="000000"/>
                <w:lang w:eastAsia="en-GB"/>
              </w:rPr>
            </w:pPr>
            <w:r w:rsidRPr="00A733E0">
              <w:rPr>
                <w:rFonts w:ascii="Lato" w:hAnsi="Lato"/>
                <w:b/>
                <w:bCs/>
                <w:color w:val="000000"/>
                <w:lang w:eastAsia="en-GB"/>
              </w:rPr>
              <w:t>1</w:t>
            </w:r>
            <w:r w:rsidR="00CB2519">
              <w:rPr>
                <w:rFonts w:ascii="Lato" w:hAnsi="Lato"/>
                <w:b/>
                <w:bCs/>
                <w:color w:val="000000"/>
                <w:lang w:eastAsia="en-GB"/>
              </w:rPr>
              <w:t>252</w:t>
            </w:r>
          </w:p>
        </w:tc>
        <w:tc>
          <w:tcPr>
            <w:tcW w:w="992" w:type="dxa"/>
            <w:tcBorders>
              <w:top w:val="nil"/>
              <w:left w:val="nil"/>
              <w:bottom w:val="single" w:sz="8" w:space="0" w:color="auto"/>
              <w:right w:val="single" w:sz="8" w:space="0" w:color="auto"/>
            </w:tcBorders>
            <w:shd w:val="clear" w:color="000000" w:fill="D9D9D9"/>
            <w:noWrap/>
            <w:vAlign w:val="center"/>
            <w:hideMark/>
          </w:tcPr>
          <w:p w14:paraId="2DA00119" w14:textId="03B3D200" w:rsidR="007E3F17" w:rsidRPr="00A733E0" w:rsidRDefault="00CB2519" w:rsidP="00CF5F34">
            <w:pPr>
              <w:spacing w:after="0" w:line="240" w:lineRule="auto"/>
              <w:jc w:val="center"/>
              <w:rPr>
                <w:rFonts w:ascii="Lato" w:hAnsi="Lato"/>
                <w:b/>
                <w:bCs/>
                <w:color w:val="000000"/>
                <w:lang w:eastAsia="en-GB"/>
              </w:rPr>
            </w:pPr>
            <w:r>
              <w:rPr>
                <w:rFonts w:ascii="Lato" w:hAnsi="Lato"/>
                <w:b/>
                <w:bCs/>
                <w:color w:val="000000"/>
                <w:lang w:eastAsia="en-GB"/>
              </w:rPr>
              <w:t>914</w:t>
            </w:r>
          </w:p>
        </w:tc>
        <w:tc>
          <w:tcPr>
            <w:tcW w:w="992" w:type="dxa"/>
            <w:tcBorders>
              <w:top w:val="nil"/>
              <w:left w:val="nil"/>
              <w:bottom w:val="single" w:sz="8" w:space="0" w:color="auto"/>
              <w:right w:val="single" w:sz="8" w:space="0" w:color="auto"/>
            </w:tcBorders>
            <w:shd w:val="clear" w:color="000000" w:fill="D9D9D9"/>
            <w:noWrap/>
            <w:vAlign w:val="center"/>
            <w:hideMark/>
          </w:tcPr>
          <w:p w14:paraId="6E56DB05" w14:textId="1CF7FD17" w:rsidR="007E3F17" w:rsidRPr="00A733E0" w:rsidRDefault="007E3F17" w:rsidP="00CF5F34">
            <w:pPr>
              <w:spacing w:after="0" w:line="240" w:lineRule="auto"/>
              <w:jc w:val="center"/>
              <w:rPr>
                <w:rFonts w:ascii="Lato" w:hAnsi="Lato"/>
                <w:b/>
                <w:bCs/>
                <w:color w:val="000000"/>
                <w:lang w:eastAsia="en-GB"/>
              </w:rPr>
            </w:pPr>
            <w:r w:rsidRPr="00A733E0">
              <w:rPr>
                <w:rFonts w:ascii="Lato" w:hAnsi="Lato"/>
                <w:b/>
                <w:bCs/>
                <w:color w:val="000000"/>
                <w:lang w:eastAsia="en-GB"/>
              </w:rPr>
              <w:t>40</w:t>
            </w:r>
            <w:r w:rsidR="00CB2519">
              <w:rPr>
                <w:rFonts w:ascii="Lato" w:hAnsi="Lato"/>
                <w:b/>
                <w:bCs/>
                <w:color w:val="000000"/>
                <w:lang w:eastAsia="en-GB"/>
              </w:rPr>
              <w:t>8</w:t>
            </w:r>
          </w:p>
        </w:tc>
        <w:tc>
          <w:tcPr>
            <w:tcW w:w="851" w:type="dxa"/>
            <w:tcBorders>
              <w:top w:val="nil"/>
              <w:left w:val="nil"/>
              <w:bottom w:val="single" w:sz="8" w:space="0" w:color="auto"/>
              <w:right w:val="single" w:sz="8" w:space="0" w:color="auto"/>
            </w:tcBorders>
            <w:shd w:val="clear" w:color="000000" w:fill="D9D9D9"/>
            <w:noWrap/>
            <w:vAlign w:val="center"/>
            <w:hideMark/>
          </w:tcPr>
          <w:p w14:paraId="151D3ED6" w14:textId="3D3D5926" w:rsidR="007E3F17" w:rsidRPr="00A733E0" w:rsidRDefault="007E3F17" w:rsidP="00CF5F34">
            <w:pPr>
              <w:spacing w:after="0" w:line="240" w:lineRule="auto"/>
              <w:jc w:val="center"/>
              <w:rPr>
                <w:rFonts w:ascii="Lato" w:hAnsi="Lato"/>
                <w:b/>
                <w:bCs/>
                <w:color w:val="000000"/>
                <w:lang w:eastAsia="en-GB"/>
              </w:rPr>
            </w:pPr>
            <w:r w:rsidRPr="00A733E0">
              <w:rPr>
                <w:rFonts w:ascii="Lato" w:hAnsi="Lato"/>
                <w:b/>
                <w:bCs/>
                <w:color w:val="000000"/>
                <w:lang w:eastAsia="en-GB"/>
              </w:rPr>
              <w:t>11</w:t>
            </w:r>
            <w:r w:rsidR="004A62EC">
              <w:rPr>
                <w:rFonts w:ascii="Lato" w:hAnsi="Lato"/>
                <w:b/>
                <w:bCs/>
                <w:color w:val="000000"/>
                <w:lang w:eastAsia="en-GB"/>
              </w:rPr>
              <w:t>9</w:t>
            </w:r>
          </w:p>
        </w:tc>
        <w:tc>
          <w:tcPr>
            <w:tcW w:w="850" w:type="dxa"/>
            <w:tcBorders>
              <w:top w:val="nil"/>
              <w:left w:val="nil"/>
              <w:bottom w:val="single" w:sz="8" w:space="0" w:color="auto"/>
              <w:right w:val="single" w:sz="8" w:space="0" w:color="auto"/>
            </w:tcBorders>
            <w:shd w:val="clear" w:color="000000" w:fill="D9D9D9"/>
            <w:noWrap/>
            <w:vAlign w:val="center"/>
            <w:hideMark/>
          </w:tcPr>
          <w:p w14:paraId="1E006080" w14:textId="25DBE471" w:rsidR="007E3F17" w:rsidRPr="00A733E0" w:rsidRDefault="004A62EC" w:rsidP="00CF5F34">
            <w:pPr>
              <w:spacing w:after="0" w:line="240" w:lineRule="auto"/>
              <w:jc w:val="center"/>
              <w:rPr>
                <w:rFonts w:ascii="Lato" w:hAnsi="Lato"/>
                <w:b/>
                <w:bCs/>
                <w:color w:val="000000"/>
                <w:lang w:eastAsia="en-GB"/>
              </w:rPr>
            </w:pPr>
            <w:r>
              <w:rPr>
                <w:rFonts w:ascii="Lato" w:hAnsi="Lato"/>
                <w:b/>
                <w:bCs/>
                <w:color w:val="000000"/>
                <w:lang w:eastAsia="en-GB"/>
              </w:rPr>
              <w:t>6</w:t>
            </w:r>
          </w:p>
        </w:tc>
        <w:tc>
          <w:tcPr>
            <w:tcW w:w="851" w:type="dxa"/>
            <w:tcBorders>
              <w:top w:val="nil"/>
              <w:left w:val="nil"/>
              <w:bottom w:val="single" w:sz="8" w:space="0" w:color="auto"/>
              <w:right w:val="single" w:sz="8" w:space="0" w:color="auto"/>
            </w:tcBorders>
            <w:shd w:val="clear" w:color="000000" w:fill="D9D9D9"/>
            <w:noWrap/>
            <w:vAlign w:val="center"/>
            <w:hideMark/>
          </w:tcPr>
          <w:p w14:paraId="0F82D04A" w14:textId="62C0462A" w:rsidR="007E3F17" w:rsidRPr="00A733E0" w:rsidRDefault="007E3F17" w:rsidP="007E3F17">
            <w:pPr>
              <w:spacing w:after="0" w:line="240" w:lineRule="auto"/>
              <w:jc w:val="center"/>
              <w:rPr>
                <w:rFonts w:ascii="Lato" w:hAnsi="Lato"/>
                <w:b/>
                <w:bCs/>
                <w:color w:val="000000"/>
                <w:lang w:eastAsia="en-GB"/>
              </w:rPr>
            </w:pPr>
            <w:r w:rsidRPr="00A733E0">
              <w:rPr>
                <w:rFonts w:ascii="Lato" w:hAnsi="Lato"/>
                <w:b/>
                <w:bCs/>
                <w:color w:val="000000"/>
                <w:lang w:eastAsia="en-GB"/>
              </w:rPr>
              <w:t>2</w:t>
            </w:r>
            <w:r w:rsidR="004A62EC">
              <w:rPr>
                <w:rFonts w:ascii="Lato" w:hAnsi="Lato"/>
                <w:b/>
                <w:bCs/>
                <w:color w:val="000000"/>
                <w:lang w:eastAsia="en-GB"/>
              </w:rPr>
              <w:t>699</w:t>
            </w:r>
          </w:p>
        </w:tc>
        <w:tc>
          <w:tcPr>
            <w:tcW w:w="1276" w:type="dxa"/>
            <w:tcBorders>
              <w:top w:val="nil"/>
              <w:left w:val="nil"/>
              <w:bottom w:val="single" w:sz="8" w:space="0" w:color="auto"/>
              <w:right w:val="single" w:sz="8" w:space="0" w:color="auto"/>
            </w:tcBorders>
            <w:shd w:val="clear" w:color="auto" w:fill="auto"/>
            <w:noWrap/>
            <w:vAlign w:val="center"/>
            <w:hideMark/>
          </w:tcPr>
          <w:p w14:paraId="287D6CCB" w14:textId="77777777" w:rsidR="007E3F17" w:rsidRPr="00A733E0" w:rsidRDefault="007E3F17" w:rsidP="007E3F17">
            <w:pPr>
              <w:spacing w:after="0" w:line="240" w:lineRule="auto"/>
              <w:jc w:val="center"/>
              <w:rPr>
                <w:rFonts w:ascii="Lato" w:hAnsi="Lato"/>
                <w:b/>
                <w:bCs/>
                <w:color w:val="000000"/>
                <w:lang w:eastAsia="en-GB"/>
              </w:rPr>
            </w:pPr>
            <w:r w:rsidRPr="00A733E0">
              <w:rPr>
                <w:rFonts w:ascii="Lato" w:hAnsi="Lato"/>
                <w:b/>
                <w:bCs/>
                <w:color w:val="000000"/>
                <w:lang w:eastAsia="en-GB"/>
              </w:rPr>
              <w:t>100%</w:t>
            </w:r>
          </w:p>
        </w:tc>
      </w:tr>
    </w:tbl>
    <w:p w14:paraId="70181D6A" w14:textId="77777777" w:rsidR="00AC0196" w:rsidRPr="00E154F5" w:rsidRDefault="00AC0196" w:rsidP="00AC0196">
      <w:pPr>
        <w:jc w:val="both"/>
        <w:rPr>
          <w:rFonts w:ascii="Lato" w:hAnsi="Lato" w:cs="Calibri"/>
          <w:bCs/>
        </w:rPr>
      </w:pPr>
    </w:p>
    <w:p w14:paraId="682D694F" w14:textId="77777777" w:rsidR="00AC0196" w:rsidRPr="00E154F5" w:rsidRDefault="00AC0196" w:rsidP="00AC0196">
      <w:pPr>
        <w:pStyle w:val="ListParagraph"/>
        <w:numPr>
          <w:ilvl w:val="0"/>
          <w:numId w:val="3"/>
        </w:numPr>
        <w:contextualSpacing w:val="0"/>
        <w:jc w:val="both"/>
        <w:rPr>
          <w:rFonts w:ascii="Lato" w:hAnsi="Lato" w:cs="Calibri"/>
          <w:b/>
          <w:sz w:val="22"/>
          <w:szCs w:val="22"/>
        </w:rPr>
      </w:pPr>
      <w:r w:rsidRPr="00E154F5">
        <w:rPr>
          <w:rFonts w:ascii="Lato" w:hAnsi="Lato" w:cs="Calibri"/>
          <w:b/>
          <w:bCs/>
          <w:sz w:val="22"/>
          <w:szCs w:val="22"/>
        </w:rPr>
        <w:t>Allocation criteria and selection</w:t>
      </w:r>
    </w:p>
    <w:p w14:paraId="51937310" w14:textId="77777777" w:rsidR="00A443BE" w:rsidRPr="00E154F5" w:rsidRDefault="00A443BE" w:rsidP="00AC0196">
      <w:pPr>
        <w:jc w:val="both"/>
        <w:rPr>
          <w:rFonts w:ascii="Lato" w:hAnsi="Lato" w:cs="Calibri"/>
        </w:rPr>
      </w:pPr>
    </w:p>
    <w:p w14:paraId="2EF4E98F" w14:textId="1BDC74F1" w:rsidR="00AC0196" w:rsidRPr="00E154F5" w:rsidRDefault="00AC0196" w:rsidP="00AC0196">
      <w:pPr>
        <w:jc w:val="both"/>
        <w:rPr>
          <w:rFonts w:ascii="Lato" w:hAnsi="Lato" w:cs="Calibri"/>
        </w:rPr>
      </w:pPr>
      <w:r w:rsidRPr="007E3F17">
        <w:rPr>
          <w:rFonts w:ascii="Lato" w:hAnsi="Lato" w:cs="Calibri"/>
        </w:rPr>
        <w:t xml:space="preserve">All </w:t>
      </w:r>
      <w:r w:rsidR="00D87BB8" w:rsidRPr="007E3F17">
        <w:rPr>
          <w:rFonts w:ascii="Lato" w:hAnsi="Lato" w:cs="Calibri"/>
        </w:rPr>
        <w:t>11</w:t>
      </w:r>
      <w:r w:rsidRPr="007E3F17">
        <w:rPr>
          <w:rFonts w:ascii="Lato" w:hAnsi="Lato" w:cs="Calibri"/>
        </w:rPr>
        <w:t xml:space="preserve"> properties (100%) will be advertised through Property Pool Plus, in accordance with the</w:t>
      </w:r>
      <w:r w:rsidRPr="00E154F5">
        <w:rPr>
          <w:rFonts w:ascii="Lato" w:hAnsi="Lato" w:cs="Calibri"/>
        </w:rPr>
        <w:t xml:space="preserve"> criteria detailed within this policy. Property adverts will </w:t>
      </w:r>
      <w:r w:rsidR="000929E7" w:rsidRPr="00E154F5">
        <w:rPr>
          <w:rFonts w:ascii="Lato" w:hAnsi="Lato" w:cs="Calibri"/>
        </w:rPr>
        <w:t>state that</w:t>
      </w:r>
      <w:r w:rsidRPr="00E154F5">
        <w:rPr>
          <w:rFonts w:ascii="Lato" w:hAnsi="Lato" w:cs="Calibri"/>
        </w:rPr>
        <w:t xml:space="preserve"> allocations are subject to this policy and preference </w:t>
      </w:r>
      <w:r w:rsidR="00F62DD4">
        <w:rPr>
          <w:rFonts w:ascii="Lato" w:hAnsi="Lato" w:cs="Calibri"/>
        </w:rPr>
        <w:t>is</w:t>
      </w:r>
      <w:r w:rsidRPr="00E154F5">
        <w:rPr>
          <w:rFonts w:ascii="Lato" w:hAnsi="Lato" w:cs="Calibri"/>
        </w:rPr>
        <w:t xml:space="preserve"> to be given </w:t>
      </w:r>
      <w:r w:rsidR="00F62DD4">
        <w:rPr>
          <w:rFonts w:ascii="Lato" w:hAnsi="Lato" w:cs="Calibri"/>
        </w:rPr>
        <w:t xml:space="preserve">to </w:t>
      </w:r>
      <w:r w:rsidRPr="00E154F5">
        <w:rPr>
          <w:rFonts w:ascii="Lato" w:hAnsi="Lato" w:cs="Calibri"/>
        </w:rPr>
        <w:t>applicants</w:t>
      </w:r>
      <w:r w:rsidR="00F62DD4">
        <w:rPr>
          <w:rFonts w:ascii="Lato" w:hAnsi="Lato" w:cs="Calibri"/>
        </w:rPr>
        <w:t xml:space="preserve"> who</w:t>
      </w:r>
      <w:r w:rsidRPr="00E154F5">
        <w:rPr>
          <w:rFonts w:ascii="Lato" w:hAnsi="Lato" w:cs="Calibri"/>
        </w:rPr>
        <w:t xml:space="preserve"> meet specific criteria </w:t>
      </w:r>
      <w:r w:rsidR="00F62DD4">
        <w:rPr>
          <w:rFonts w:ascii="Lato" w:hAnsi="Lato" w:cs="Calibri"/>
        </w:rPr>
        <w:t xml:space="preserve">as </w:t>
      </w:r>
      <w:r w:rsidRPr="00E154F5">
        <w:rPr>
          <w:rFonts w:ascii="Lato" w:hAnsi="Lato" w:cs="Calibri"/>
        </w:rPr>
        <w:t>set out in this LLP. This will help applicant</w:t>
      </w:r>
      <w:r w:rsidR="00F62DD4">
        <w:rPr>
          <w:rFonts w:ascii="Lato" w:hAnsi="Lato" w:cs="Calibri"/>
        </w:rPr>
        <w:t>s make</w:t>
      </w:r>
      <w:r w:rsidRPr="00E154F5">
        <w:rPr>
          <w:rFonts w:ascii="Lato" w:hAnsi="Lato" w:cs="Calibri"/>
        </w:rPr>
        <w:t xml:space="preserve"> </w:t>
      </w:r>
      <w:r w:rsidR="00F62DD4">
        <w:rPr>
          <w:rFonts w:ascii="Lato" w:hAnsi="Lato" w:cs="Calibri"/>
        </w:rPr>
        <w:t xml:space="preserve">an informed decision on </w:t>
      </w:r>
      <w:r w:rsidRPr="00E154F5">
        <w:rPr>
          <w:rFonts w:ascii="Lato" w:hAnsi="Lato" w:cs="Calibri"/>
        </w:rPr>
        <w:t xml:space="preserve">whether to bid on the property. </w:t>
      </w:r>
    </w:p>
    <w:p w14:paraId="100ECEDD" w14:textId="0E6D18C8" w:rsidR="00AC0196" w:rsidRPr="00E154F5" w:rsidRDefault="00AC0196" w:rsidP="00AC0196">
      <w:pPr>
        <w:jc w:val="both"/>
        <w:rPr>
          <w:rFonts w:ascii="Lato" w:hAnsi="Lato" w:cs="Calibri"/>
        </w:rPr>
      </w:pPr>
      <w:r w:rsidRPr="00E154F5">
        <w:rPr>
          <w:rFonts w:ascii="Lato" w:hAnsi="Lato" w:cs="Calibri"/>
        </w:rPr>
        <w:t xml:space="preserve">All </w:t>
      </w:r>
      <w:r w:rsidR="000A61E8" w:rsidRPr="00E154F5">
        <w:rPr>
          <w:rFonts w:ascii="Lato" w:hAnsi="Lato" w:cs="Calibri"/>
        </w:rPr>
        <w:t>11</w:t>
      </w:r>
      <w:r w:rsidRPr="00E154F5">
        <w:rPr>
          <w:rFonts w:ascii="Lato" w:hAnsi="Lato" w:cs="Calibri"/>
        </w:rPr>
        <w:t xml:space="preserve"> properties will be allocated to households who have been </w:t>
      </w:r>
      <w:r w:rsidRPr="00F62DD4">
        <w:rPr>
          <w:rFonts w:ascii="Lato" w:hAnsi="Lato" w:cs="Calibri"/>
        </w:rPr>
        <w:t xml:space="preserve">awarded a Band A or </w:t>
      </w:r>
      <w:r w:rsidR="00F62DD4" w:rsidRPr="00F62DD4">
        <w:rPr>
          <w:rFonts w:ascii="Lato" w:hAnsi="Lato" w:cs="Calibri"/>
        </w:rPr>
        <w:t>B priority</w:t>
      </w:r>
      <w:r w:rsidRPr="00F62DD4">
        <w:rPr>
          <w:rFonts w:ascii="Lato" w:hAnsi="Lato" w:cs="Calibri"/>
        </w:rPr>
        <w:t xml:space="preserve"> for rehousing. </w:t>
      </w:r>
      <w:r w:rsidRPr="00F62DD4">
        <w:rPr>
          <w:rStyle w:val="normaltextrun"/>
          <w:rFonts w:ascii="Lato" w:hAnsi="Lato" w:cs="Calibri"/>
          <w:color w:val="000000"/>
          <w:shd w:val="clear" w:color="auto" w:fill="FFFFFF"/>
        </w:rPr>
        <w:t>This will ensure that allocations are made to household</w:t>
      </w:r>
      <w:r w:rsidR="00F62DD4">
        <w:rPr>
          <w:rStyle w:val="normaltextrun"/>
          <w:rFonts w:ascii="Lato" w:hAnsi="Lato" w:cs="Calibri"/>
          <w:color w:val="000000"/>
          <w:shd w:val="clear" w:color="auto" w:fill="FFFFFF"/>
        </w:rPr>
        <w:t>s</w:t>
      </w:r>
      <w:r w:rsidRPr="00F62DD4">
        <w:rPr>
          <w:rStyle w:val="normaltextrun"/>
          <w:rFonts w:ascii="Lato" w:hAnsi="Lato" w:cs="Calibri"/>
          <w:color w:val="000000"/>
          <w:shd w:val="clear" w:color="auto" w:fill="FFFFFF"/>
        </w:rPr>
        <w:t xml:space="preserve"> who have</w:t>
      </w:r>
      <w:r w:rsidRPr="00E154F5">
        <w:rPr>
          <w:rStyle w:val="normaltextrun"/>
          <w:rFonts w:ascii="Lato" w:hAnsi="Lato" w:cs="Calibri"/>
          <w:color w:val="000000"/>
          <w:shd w:val="clear" w:color="auto" w:fill="FFFFFF"/>
        </w:rPr>
        <w:t xml:space="preserve"> been assessed as having a priority</w:t>
      </w:r>
      <w:r w:rsidR="00F62DD4">
        <w:rPr>
          <w:rStyle w:val="normaltextrun"/>
          <w:rFonts w:ascii="Lato" w:hAnsi="Lato" w:cs="Calibri"/>
          <w:color w:val="000000"/>
          <w:shd w:val="clear" w:color="auto" w:fill="FFFFFF"/>
        </w:rPr>
        <w:t xml:space="preserve"> need,</w:t>
      </w:r>
      <w:r w:rsidRPr="00E154F5">
        <w:rPr>
          <w:rStyle w:val="normaltextrun"/>
          <w:rFonts w:ascii="Lato" w:hAnsi="Lato" w:cs="Calibri"/>
          <w:color w:val="000000"/>
          <w:shd w:val="clear" w:color="auto" w:fill="FFFFFF"/>
        </w:rPr>
        <w:t xml:space="preserve"> whilst also supporting </w:t>
      </w:r>
      <w:r w:rsidR="00C8788B" w:rsidRPr="00E154F5">
        <w:rPr>
          <w:rStyle w:val="normaltextrun"/>
          <w:rFonts w:ascii="Lato" w:hAnsi="Lato" w:cs="Calibri"/>
          <w:color w:val="000000"/>
          <w:shd w:val="clear" w:color="auto" w:fill="FFFFFF"/>
        </w:rPr>
        <w:t xml:space="preserve">Prima </w:t>
      </w:r>
      <w:r w:rsidR="00DE3D15">
        <w:rPr>
          <w:rStyle w:val="normaltextrun"/>
          <w:rFonts w:ascii="Lato" w:hAnsi="Lato" w:cs="Calibri"/>
          <w:color w:val="000000"/>
          <w:shd w:val="clear" w:color="auto" w:fill="FFFFFF"/>
        </w:rPr>
        <w:t>Group</w:t>
      </w:r>
      <w:r w:rsidRPr="00E154F5">
        <w:rPr>
          <w:rStyle w:val="normaltextrun"/>
          <w:rFonts w:ascii="Lato" w:hAnsi="Lato" w:cs="Calibri"/>
          <w:color w:val="000000"/>
          <w:shd w:val="clear" w:color="auto" w:fill="FFFFFF"/>
        </w:rPr>
        <w:t xml:space="preserve"> in establishing a settled and sustainable community</w:t>
      </w:r>
      <w:r w:rsidR="004054DF" w:rsidRPr="00E154F5">
        <w:rPr>
          <w:rStyle w:val="normaltextrun"/>
          <w:rFonts w:ascii="Lato" w:hAnsi="Lato" w:cs="Calibri"/>
          <w:color w:val="000000"/>
          <w:shd w:val="clear" w:color="auto" w:fill="FFFFFF"/>
        </w:rPr>
        <w:t xml:space="preserve">. </w:t>
      </w:r>
      <w:r w:rsidRPr="00404D8D">
        <w:rPr>
          <w:rFonts w:ascii="Lato" w:hAnsi="Lato" w:cs="Calibri"/>
        </w:rPr>
        <w:t xml:space="preserve">As such, </w:t>
      </w:r>
      <w:r w:rsidR="0010711D">
        <w:rPr>
          <w:rFonts w:ascii="Lato" w:hAnsi="Lato" w:cs="Calibri"/>
        </w:rPr>
        <w:t>t</w:t>
      </w:r>
      <w:r w:rsidR="0010711D" w:rsidRPr="00E154F5">
        <w:rPr>
          <w:rFonts w:ascii="Lato" w:hAnsi="Lato" w:cs="Calibri"/>
        </w:rPr>
        <w:t>he allocation of properties will be split with a percentage in Band A and B</w:t>
      </w:r>
      <w:r w:rsidR="0010711D">
        <w:rPr>
          <w:rFonts w:ascii="Lato" w:hAnsi="Lato" w:cs="Calibri"/>
        </w:rPr>
        <w:t xml:space="preserve">, with </w:t>
      </w:r>
      <w:r w:rsidRPr="00404D8D">
        <w:rPr>
          <w:rFonts w:ascii="Lato" w:hAnsi="Lato" w:cs="Calibri"/>
        </w:rPr>
        <w:t>4</w:t>
      </w:r>
      <w:r w:rsidR="005143F8">
        <w:rPr>
          <w:rFonts w:ascii="Lato" w:hAnsi="Lato" w:cs="Calibri"/>
        </w:rPr>
        <w:t>5</w:t>
      </w:r>
      <w:r w:rsidRPr="00404D8D">
        <w:rPr>
          <w:rFonts w:ascii="Lato" w:hAnsi="Lato" w:cs="Calibri"/>
        </w:rPr>
        <w:t>% (</w:t>
      </w:r>
      <w:r w:rsidR="00C824C3">
        <w:rPr>
          <w:rFonts w:ascii="Lato" w:hAnsi="Lato" w:cs="Calibri"/>
        </w:rPr>
        <w:t>5</w:t>
      </w:r>
      <w:r w:rsidRPr="00404D8D">
        <w:rPr>
          <w:rFonts w:ascii="Lato" w:hAnsi="Lato" w:cs="Calibri"/>
        </w:rPr>
        <w:t xml:space="preserve">) of the properties </w:t>
      </w:r>
      <w:r w:rsidR="0010711D">
        <w:rPr>
          <w:rFonts w:ascii="Lato" w:hAnsi="Lato" w:cs="Calibri"/>
        </w:rPr>
        <w:t xml:space="preserve">to </w:t>
      </w:r>
      <w:r w:rsidRPr="00404D8D">
        <w:rPr>
          <w:rFonts w:ascii="Lato" w:hAnsi="Lato" w:cs="Calibri"/>
        </w:rPr>
        <w:t xml:space="preserve">be allocated to Band A and </w:t>
      </w:r>
      <w:r w:rsidR="005143F8">
        <w:rPr>
          <w:rFonts w:ascii="Lato" w:hAnsi="Lato" w:cs="Calibri"/>
        </w:rPr>
        <w:t>55</w:t>
      </w:r>
      <w:r w:rsidRPr="00404D8D">
        <w:rPr>
          <w:rFonts w:ascii="Lato" w:hAnsi="Lato" w:cs="Calibri"/>
        </w:rPr>
        <w:t>% (</w:t>
      </w:r>
      <w:r w:rsidR="00C824C3">
        <w:rPr>
          <w:rFonts w:ascii="Lato" w:hAnsi="Lato" w:cs="Calibri"/>
        </w:rPr>
        <w:t>6</w:t>
      </w:r>
      <w:r w:rsidRPr="00404D8D">
        <w:rPr>
          <w:rFonts w:ascii="Lato" w:hAnsi="Lato" w:cs="Calibri"/>
        </w:rPr>
        <w:t xml:space="preserve">) to Band </w:t>
      </w:r>
      <w:r w:rsidR="004054DF" w:rsidRPr="00404D8D">
        <w:rPr>
          <w:rFonts w:ascii="Lato" w:hAnsi="Lato" w:cs="Calibri"/>
        </w:rPr>
        <w:t>B.</w:t>
      </w:r>
      <w:r w:rsidR="004054DF" w:rsidRPr="00E154F5">
        <w:rPr>
          <w:rFonts w:ascii="Lato" w:hAnsi="Lato" w:cs="Calibri"/>
        </w:rPr>
        <w:t xml:space="preserve"> </w:t>
      </w:r>
    </w:p>
    <w:p w14:paraId="04064FF4" w14:textId="47A7767D" w:rsidR="00AC0196" w:rsidRPr="00E154F5" w:rsidRDefault="00AC0196" w:rsidP="00A443BE">
      <w:pPr>
        <w:jc w:val="both"/>
        <w:rPr>
          <w:rFonts w:ascii="Lato" w:hAnsi="Lato" w:cs="Calibri"/>
        </w:rPr>
      </w:pPr>
      <w:r w:rsidRPr="00E154F5">
        <w:rPr>
          <w:rFonts w:ascii="Lato" w:hAnsi="Lato" w:cs="Calibri"/>
        </w:rPr>
        <w:t xml:space="preserve">All properties (100%) will be allocated to Knowsley residents for the first round of lets. </w:t>
      </w:r>
      <w:r w:rsidR="00404D8D" w:rsidRPr="00E154F5">
        <w:rPr>
          <w:rFonts w:ascii="Lato" w:hAnsi="Lato" w:cs="Calibri"/>
        </w:rPr>
        <w:t>To</w:t>
      </w:r>
      <w:r w:rsidRPr="00E154F5">
        <w:rPr>
          <w:rFonts w:ascii="Lato" w:hAnsi="Lato" w:cs="Calibri"/>
        </w:rPr>
        <w:t xml:space="preserve"> balance the needs of individuals on the housing register whilst also promoting a balance</w:t>
      </w:r>
      <w:r w:rsidR="00D1167A">
        <w:rPr>
          <w:rFonts w:ascii="Lato" w:hAnsi="Lato" w:cs="Calibri"/>
        </w:rPr>
        <w:t>d</w:t>
      </w:r>
      <w:r w:rsidRPr="00E154F5">
        <w:rPr>
          <w:rFonts w:ascii="Lato" w:hAnsi="Lato" w:cs="Calibri"/>
        </w:rPr>
        <w:t xml:space="preserve"> community, preference will be given to applicants who are </w:t>
      </w:r>
      <w:r w:rsidR="00034DD8" w:rsidRPr="00E154F5">
        <w:rPr>
          <w:rFonts w:ascii="Lato" w:hAnsi="Lato" w:cs="Calibri"/>
        </w:rPr>
        <w:t xml:space="preserve">in </w:t>
      </w:r>
      <w:r w:rsidRPr="00E154F5">
        <w:rPr>
          <w:rFonts w:ascii="Lato" w:hAnsi="Lato" w:cs="Calibri"/>
        </w:rPr>
        <w:t xml:space="preserve">employment, </w:t>
      </w:r>
      <w:r w:rsidR="00BE358C">
        <w:rPr>
          <w:rFonts w:ascii="Lato" w:hAnsi="Lato" w:cs="Calibri"/>
        </w:rPr>
        <w:t>care</w:t>
      </w:r>
      <w:r w:rsidR="00FF6408">
        <w:rPr>
          <w:rFonts w:ascii="Lato" w:hAnsi="Lato" w:cs="Calibri"/>
        </w:rPr>
        <w:t xml:space="preserve"> </w:t>
      </w:r>
      <w:r w:rsidR="00BE358C">
        <w:rPr>
          <w:rFonts w:ascii="Lato" w:hAnsi="Lato" w:cs="Calibri"/>
        </w:rPr>
        <w:t>leavers</w:t>
      </w:r>
      <w:r w:rsidRPr="00E154F5">
        <w:rPr>
          <w:rFonts w:ascii="Lato" w:hAnsi="Lato" w:cs="Calibri"/>
        </w:rPr>
        <w:t>,</w:t>
      </w:r>
      <w:r w:rsidR="00BE358C">
        <w:rPr>
          <w:rFonts w:ascii="Lato" w:hAnsi="Lato" w:cs="Calibri"/>
        </w:rPr>
        <w:t xml:space="preserve"> </w:t>
      </w:r>
      <w:r w:rsidR="004D503C">
        <w:rPr>
          <w:rFonts w:ascii="Lato" w:hAnsi="Lato" w:cs="Calibri"/>
        </w:rPr>
        <w:t>wheelchair users</w:t>
      </w:r>
      <w:r w:rsidRPr="00E154F5">
        <w:rPr>
          <w:rFonts w:ascii="Lato" w:hAnsi="Lato" w:cs="Calibri"/>
        </w:rPr>
        <w:t xml:space="preserve"> </w:t>
      </w:r>
      <w:r w:rsidR="004D503C">
        <w:rPr>
          <w:rFonts w:ascii="Lato" w:hAnsi="Lato" w:cs="Calibri"/>
        </w:rPr>
        <w:t>and</w:t>
      </w:r>
      <w:r w:rsidRPr="00E154F5">
        <w:rPr>
          <w:rFonts w:ascii="Lato" w:hAnsi="Lato" w:cs="Calibri"/>
        </w:rPr>
        <w:t xml:space="preserve"> </w:t>
      </w:r>
      <w:r w:rsidR="00C75B0D">
        <w:rPr>
          <w:rFonts w:ascii="Lato" w:hAnsi="Lato" w:cs="Calibri"/>
        </w:rPr>
        <w:t xml:space="preserve">applicants who are </w:t>
      </w:r>
      <w:r w:rsidRPr="00E154F5">
        <w:rPr>
          <w:rFonts w:ascii="Lato" w:hAnsi="Lato" w:cs="Calibri"/>
        </w:rPr>
        <w:t xml:space="preserve">currently under-occupying an existing social housing property. </w:t>
      </w:r>
      <w:r w:rsidR="00B94A3C">
        <w:rPr>
          <w:rFonts w:ascii="Lato" w:hAnsi="Lato" w:cs="Calibri"/>
        </w:rPr>
        <w:t xml:space="preserve">Subsequent lets will be allocated in line with the Property Pool Plus Allocation Scheme rules. </w:t>
      </w:r>
    </w:p>
    <w:p w14:paraId="10755322" w14:textId="1F73EF50" w:rsidR="00AC0196" w:rsidRPr="00E154F5" w:rsidRDefault="00AC0196" w:rsidP="00AC0196">
      <w:pPr>
        <w:rPr>
          <w:rFonts w:ascii="Lato" w:hAnsi="Lato" w:cs="Calibri"/>
          <w:b/>
          <w:bCs/>
        </w:rPr>
      </w:pPr>
      <w:r w:rsidRPr="00E154F5">
        <w:rPr>
          <w:rFonts w:ascii="Lato" w:hAnsi="Lato" w:cs="Calibri"/>
          <w:b/>
          <w:bCs/>
        </w:rPr>
        <w:t>Employment</w:t>
      </w:r>
    </w:p>
    <w:p w14:paraId="0A5BC104" w14:textId="7F2A9E5E" w:rsidR="00AC0196" w:rsidRPr="00E154F5" w:rsidRDefault="00B23237" w:rsidP="00AC0196">
      <w:pPr>
        <w:spacing w:line="259" w:lineRule="auto"/>
        <w:jc w:val="both"/>
        <w:rPr>
          <w:rFonts w:ascii="Lato" w:hAnsi="Lato" w:cs="Calibri"/>
        </w:rPr>
      </w:pPr>
      <w:r w:rsidRPr="00E154F5">
        <w:rPr>
          <w:rFonts w:ascii="Lato" w:hAnsi="Lato" w:cs="Calibri"/>
        </w:rPr>
        <w:t>Prima Group</w:t>
      </w:r>
      <w:r w:rsidR="00AC0196" w:rsidRPr="00E154F5">
        <w:rPr>
          <w:rFonts w:ascii="Lato" w:hAnsi="Lato" w:cs="Calibri"/>
        </w:rPr>
        <w:t xml:space="preserve"> will request that</w:t>
      </w:r>
      <w:r w:rsidR="00FF6408">
        <w:rPr>
          <w:rFonts w:ascii="Lato" w:hAnsi="Lato" w:cs="Calibri"/>
        </w:rPr>
        <w:t xml:space="preserve"> </w:t>
      </w:r>
      <w:r w:rsidR="002E1EAE">
        <w:rPr>
          <w:rFonts w:ascii="Lato" w:hAnsi="Lato" w:cs="Calibri"/>
        </w:rPr>
        <w:t>3</w:t>
      </w:r>
      <w:r w:rsidR="005B2772">
        <w:rPr>
          <w:rFonts w:ascii="Lato" w:hAnsi="Lato" w:cs="Calibri"/>
        </w:rPr>
        <w:t xml:space="preserve"> </w:t>
      </w:r>
      <w:r w:rsidR="00AC0196" w:rsidRPr="00F930B7">
        <w:rPr>
          <w:rFonts w:ascii="Lato" w:hAnsi="Lato" w:cs="Calibri"/>
        </w:rPr>
        <w:t xml:space="preserve">out of the </w:t>
      </w:r>
      <w:r w:rsidR="00404D8D" w:rsidRPr="00F930B7">
        <w:rPr>
          <w:rFonts w:ascii="Lato" w:hAnsi="Lato" w:cs="Calibri"/>
        </w:rPr>
        <w:t>11</w:t>
      </w:r>
      <w:r w:rsidR="00AC0196" w:rsidRPr="00F930B7">
        <w:rPr>
          <w:rFonts w:ascii="Lato" w:hAnsi="Lato" w:cs="Calibri"/>
        </w:rPr>
        <w:t xml:space="preserve"> properties (</w:t>
      </w:r>
      <w:r w:rsidR="00B05EB7">
        <w:rPr>
          <w:rFonts w:ascii="Lato" w:hAnsi="Lato" w:cs="Calibri"/>
        </w:rPr>
        <w:t>27</w:t>
      </w:r>
      <w:r w:rsidR="00AC0196" w:rsidRPr="00F930B7">
        <w:rPr>
          <w:rFonts w:ascii="Lato" w:hAnsi="Lato" w:cs="Calibri"/>
        </w:rPr>
        <w:t>%) will give preference to those in employment</w:t>
      </w:r>
      <w:r w:rsidR="00AC0196" w:rsidRPr="00B94A3C">
        <w:rPr>
          <w:rFonts w:ascii="Lato" w:hAnsi="Lato" w:cs="Calibri"/>
        </w:rPr>
        <w:t>.</w:t>
      </w:r>
      <w:r w:rsidR="00AC0196" w:rsidRPr="00FF6408">
        <w:rPr>
          <w:rFonts w:ascii="Lato" w:hAnsi="Lato" w:cs="Calibri"/>
        </w:rPr>
        <w:t xml:space="preserve"> As of </w:t>
      </w:r>
      <w:r w:rsidR="000F438E">
        <w:rPr>
          <w:rFonts w:ascii="Lato" w:hAnsi="Lato" w:cs="Calibri"/>
        </w:rPr>
        <w:t>January 2025</w:t>
      </w:r>
      <w:r w:rsidR="00B94A3C" w:rsidRPr="00B94A3C">
        <w:rPr>
          <w:rFonts w:ascii="Lato" w:hAnsi="Lato" w:cs="Calibri"/>
        </w:rPr>
        <w:t>,</w:t>
      </w:r>
      <w:r w:rsidR="00AC0196" w:rsidRPr="00FF6408">
        <w:rPr>
          <w:rFonts w:ascii="Lato" w:hAnsi="Lato" w:cs="Calibri"/>
        </w:rPr>
        <w:t xml:space="preserve"> </w:t>
      </w:r>
      <w:r w:rsidR="004F5C4E">
        <w:rPr>
          <w:rFonts w:ascii="Lato" w:hAnsi="Lato" w:cs="Calibri"/>
        </w:rPr>
        <w:t>19</w:t>
      </w:r>
      <w:r w:rsidR="00AC0196" w:rsidRPr="00FF6408">
        <w:rPr>
          <w:rFonts w:ascii="Lato" w:hAnsi="Lato" w:cs="Calibri"/>
        </w:rPr>
        <w:t>% of active applications on Knowsley’s housing register were verified as being in employment (working over 16 hours per week).</w:t>
      </w:r>
      <w:r w:rsidR="00AC0196" w:rsidRPr="00E154F5">
        <w:rPr>
          <w:rFonts w:ascii="Lato" w:hAnsi="Lato" w:cs="Calibri"/>
        </w:rPr>
        <w:t xml:space="preserve"> </w:t>
      </w:r>
    </w:p>
    <w:p w14:paraId="1DF01879" w14:textId="6BB45DFF" w:rsidR="005A6097" w:rsidRPr="005A6097" w:rsidRDefault="00F930B7" w:rsidP="005A6097">
      <w:pPr>
        <w:spacing w:line="257" w:lineRule="auto"/>
        <w:jc w:val="both"/>
        <w:rPr>
          <w:rFonts w:ascii="Lato" w:eastAsia="Calibri" w:hAnsi="Lato" w:cs="Calibri"/>
        </w:rPr>
      </w:pPr>
      <w:r>
        <w:rPr>
          <w:rFonts w:ascii="Lato" w:hAnsi="Lato" w:cs="Calibri"/>
        </w:rPr>
        <w:t>The aim of this LLP is to help improve the social position of disadvantaged neighbourhoods and reduce inequality and poverty by creating a balanced community</w:t>
      </w:r>
      <w:r w:rsidRPr="002E0366">
        <w:rPr>
          <w:rFonts w:ascii="Lato" w:hAnsi="Lato" w:cs="Calibri"/>
        </w:rPr>
        <w:t xml:space="preserve">. </w:t>
      </w:r>
      <w:r w:rsidR="00AC0196" w:rsidRPr="002E0366">
        <w:rPr>
          <w:rFonts w:ascii="Lato" w:eastAsia="Calibri" w:hAnsi="Lato" w:cs="Calibri"/>
        </w:rPr>
        <w:t xml:space="preserve">In other new build </w:t>
      </w:r>
      <w:r w:rsidR="00AC0196" w:rsidRPr="002E0366">
        <w:rPr>
          <w:rFonts w:ascii="Lato" w:eastAsia="Calibri" w:hAnsi="Lato" w:cs="Calibri"/>
        </w:rPr>
        <w:lastRenderedPageBreak/>
        <w:t xml:space="preserve">schemes in Merseyside where </w:t>
      </w:r>
      <w:r w:rsidR="00CA58E6" w:rsidRPr="002E0366">
        <w:rPr>
          <w:rFonts w:ascii="Lato" w:eastAsia="Calibri" w:hAnsi="Lato" w:cs="Calibri"/>
        </w:rPr>
        <w:t>Prima Group</w:t>
      </w:r>
      <w:r w:rsidR="00AC0196" w:rsidRPr="002E0366">
        <w:rPr>
          <w:rFonts w:ascii="Lato" w:eastAsia="Calibri" w:hAnsi="Lato" w:cs="Calibri"/>
        </w:rPr>
        <w:t xml:space="preserve"> have not requested a certain percentage of properties go to </w:t>
      </w:r>
      <w:r w:rsidR="00B94A3C">
        <w:rPr>
          <w:rFonts w:ascii="Lato" w:eastAsia="Calibri" w:hAnsi="Lato" w:cs="Calibri"/>
        </w:rPr>
        <w:t>those who are in e</w:t>
      </w:r>
      <w:r w:rsidR="00B94A3C" w:rsidRPr="002E0366">
        <w:rPr>
          <w:rFonts w:ascii="Lato" w:eastAsia="Calibri" w:hAnsi="Lato" w:cs="Calibri"/>
        </w:rPr>
        <w:t>mployment</w:t>
      </w:r>
      <w:r w:rsidR="00AC0196" w:rsidRPr="002E0366">
        <w:rPr>
          <w:rFonts w:ascii="Lato" w:eastAsia="Calibri" w:hAnsi="Lato" w:cs="Calibri"/>
        </w:rPr>
        <w:t>, we have experience</w:t>
      </w:r>
      <w:r w:rsidR="00A469A2">
        <w:rPr>
          <w:rFonts w:ascii="Lato" w:eastAsia="Calibri" w:hAnsi="Lato" w:cs="Calibri"/>
        </w:rPr>
        <w:t>d</w:t>
      </w:r>
      <w:r w:rsidR="00AC0196" w:rsidRPr="002E0366">
        <w:rPr>
          <w:rFonts w:ascii="Lato" w:eastAsia="Calibri" w:hAnsi="Lato" w:cs="Calibri"/>
        </w:rPr>
        <w:t xml:space="preserve"> </w:t>
      </w:r>
      <w:r w:rsidR="004C38BD" w:rsidRPr="002E0366">
        <w:rPr>
          <w:rFonts w:ascii="Lato" w:eastAsia="Calibri" w:hAnsi="Lato" w:cs="Calibri"/>
        </w:rPr>
        <w:t>elevated levels</w:t>
      </w:r>
      <w:r w:rsidR="00AC0196" w:rsidRPr="002E0366">
        <w:rPr>
          <w:rFonts w:ascii="Lato" w:eastAsia="Calibri" w:hAnsi="Lato" w:cs="Calibri"/>
        </w:rPr>
        <w:t xml:space="preserve"> of customer turnover within the first 18 months that has reduced tenancy and community sustainability.</w:t>
      </w:r>
    </w:p>
    <w:p w14:paraId="632F945C" w14:textId="34F331C3" w:rsidR="00AC0196" w:rsidRPr="00E154F5" w:rsidRDefault="00AC0196" w:rsidP="00AC0196">
      <w:pPr>
        <w:rPr>
          <w:rFonts w:ascii="Lato" w:hAnsi="Lato" w:cs="Calibri"/>
          <w:b/>
          <w:bCs/>
        </w:rPr>
      </w:pPr>
      <w:r w:rsidRPr="00E154F5">
        <w:rPr>
          <w:rFonts w:ascii="Lato" w:hAnsi="Lato" w:cs="Calibri"/>
          <w:b/>
          <w:bCs/>
        </w:rPr>
        <w:t xml:space="preserve">Rightsizing </w:t>
      </w:r>
    </w:p>
    <w:p w14:paraId="73D32EBB" w14:textId="4BE8D2A9" w:rsidR="00AC0196" w:rsidRPr="00CE12AB" w:rsidRDefault="00AC0196" w:rsidP="00AC0196">
      <w:pPr>
        <w:jc w:val="both"/>
        <w:rPr>
          <w:rFonts w:ascii="Lato" w:hAnsi="Lato" w:cs="Calibri"/>
        </w:rPr>
      </w:pPr>
      <w:r w:rsidRPr="00E154F5">
        <w:rPr>
          <w:rFonts w:ascii="Lato" w:hAnsi="Lato" w:cs="Calibri"/>
        </w:rPr>
        <w:t>The</w:t>
      </w:r>
      <w:r w:rsidR="002E0366">
        <w:rPr>
          <w:rFonts w:ascii="Lato" w:hAnsi="Lato" w:cs="Calibri"/>
        </w:rPr>
        <w:t xml:space="preserve"> number of</w:t>
      </w:r>
      <w:r w:rsidRPr="00E154F5">
        <w:rPr>
          <w:rFonts w:ascii="Lato" w:hAnsi="Lato" w:cs="Calibri"/>
        </w:rPr>
        <w:t xml:space="preserve"> applicants on Knowsley’s Housing Register who are under occupying their current accommodation</w:t>
      </w:r>
      <w:r w:rsidR="002E0366">
        <w:rPr>
          <w:rFonts w:ascii="Lato" w:hAnsi="Lato" w:cs="Calibri"/>
        </w:rPr>
        <w:t xml:space="preserve"> is shown on the table below</w:t>
      </w:r>
      <w:r w:rsidRPr="00E154F5">
        <w:rPr>
          <w:rFonts w:ascii="Lato" w:hAnsi="Lato" w:cs="Calibri"/>
        </w:rPr>
        <w:t xml:space="preserve">. As of </w:t>
      </w:r>
      <w:r w:rsidR="00CE3117">
        <w:rPr>
          <w:rFonts w:ascii="Lato" w:hAnsi="Lato" w:cs="Calibri"/>
        </w:rPr>
        <w:t>January 2025</w:t>
      </w:r>
      <w:r w:rsidRPr="00E154F5">
        <w:rPr>
          <w:rFonts w:ascii="Lato" w:hAnsi="Lato" w:cs="Calibri"/>
        </w:rPr>
        <w:t>, there are currently 2</w:t>
      </w:r>
      <w:r w:rsidR="00166515">
        <w:rPr>
          <w:rFonts w:ascii="Lato" w:hAnsi="Lato" w:cs="Calibri"/>
        </w:rPr>
        <w:t>21</w:t>
      </w:r>
      <w:r w:rsidR="002E0366">
        <w:rPr>
          <w:rFonts w:ascii="Lato" w:hAnsi="Lato" w:cs="Calibri"/>
        </w:rPr>
        <w:t xml:space="preserve"> </w:t>
      </w:r>
      <w:r w:rsidRPr="00E154F5">
        <w:rPr>
          <w:rFonts w:ascii="Lato" w:hAnsi="Lato" w:cs="Calibri"/>
        </w:rPr>
        <w:t xml:space="preserve">active applicants currently under occupying their existing property by one or two </w:t>
      </w:r>
      <w:r w:rsidRPr="00CE12AB">
        <w:rPr>
          <w:rFonts w:ascii="Lato" w:hAnsi="Lato" w:cs="Calibri"/>
        </w:rPr>
        <w:t>bedrooms. A breakdown of these properties is as follows:</w:t>
      </w:r>
    </w:p>
    <w:tbl>
      <w:tblPr>
        <w:tblW w:w="5740" w:type="dxa"/>
        <w:tblLook w:val="04A0" w:firstRow="1" w:lastRow="0" w:firstColumn="1" w:lastColumn="0" w:noHBand="0" w:noVBand="1"/>
      </w:tblPr>
      <w:tblGrid>
        <w:gridCol w:w="3440"/>
        <w:gridCol w:w="2300"/>
      </w:tblGrid>
      <w:tr w:rsidR="00CC6C98" w:rsidRPr="00CE12AB" w14:paraId="02710268" w14:textId="77777777" w:rsidTr="00166515">
        <w:trPr>
          <w:trHeight w:val="288"/>
        </w:trPr>
        <w:tc>
          <w:tcPr>
            <w:tcW w:w="3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39FD37" w14:textId="77777777" w:rsidR="00CC6C98" w:rsidRPr="00CE12AB" w:rsidRDefault="00CC6C98" w:rsidP="00CC6C98">
            <w:pPr>
              <w:spacing w:after="0" w:line="240" w:lineRule="auto"/>
              <w:jc w:val="center"/>
              <w:rPr>
                <w:rFonts w:ascii="Lato" w:hAnsi="Lato"/>
                <w:b/>
                <w:bCs/>
                <w:color w:val="000000"/>
                <w:lang w:eastAsia="en-GB"/>
              </w:rPr>
            </w:pPr>
            <w:r w:rsidRPr="00CE12AB">
              <w:rPr>
                <w:rFonts w:ascii="Lato" w:hAnsi="Lato"/>
                <w:b/>
                <w:bCs/>
                <w:color w:val="000000"/>
                <w:lang w:eastAsia="en-GB"/>
              </w:rPr>
              <w:t>Under occupation by bedroom size</w:t>
            </w:r>
          </w:p>
        </w:tc>
        <w:tc>
          <w:tcPr>
            <w:tcW w:w="2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0B3F2A9" w14:textId="77777777" w:rsidR="00CC6C98" w:rsidRPr="00CE12AB" w:rsidRDefault="00CC6C98" w:rsidP="00CC6C98">
            <w:pPr>
              <w:spacing w:after="0" w:line="240" w:lineRule="auto"/>
              <w:jc w:val="center"/>
              <w:rPr>
                <w:rFonts w:ascii="Lato" w:hAnsi="Lato"/>
                <w:b/>
                <w:bCs/>
                <w:color w:val="000000"/>
                <w:lang w:eastAsia="en-GB"/>
              </w:rPr>
            </w:pPr>
            <w:r w:rsidRPr="00CE12AB">
              <w:rPr>
                <w:rFonts w:ascii="Lato" w:hAnsi="Lato"/>
                <w:b/>
                <w:bCs/>
                <w:color w:val="000000"/>
                <w:lang w:eastAsia="en-GB"/>
              </w:rPr>
              <w:t>Number of households</w:t>
            </w:r>
          </w:p>
        </w:tc>
      </w:tr>
      <w:tr w:rsidR="00CC6C98" w:rsidRPr="00CE12AB" w14:paraId="1E1E8E69" w14:textId="77777777" w:rsidTr="00CC6C98">
        <w:trPr>
          <w:trHeight w:val="288"/>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44760E6C" w14:textId="77777777" w:rsidR="00CC6C98" w:rsidRPr="00CE12AB" w:rsidRDefault="00CC6C98" w:rsidP="00CE12AB">
            <w:pPr>
              <w:spacing w:after="0" w:line="240" w:lineRule="auto"/>
              <w:rPr>
                <w:rFonts w:ascii="Lato" w:hAnsi="Lato"/>
                <w:b/>
                <w:bCs/>
                <w:color w:val="000000"/>
                <w:lang w:eastAsia="en-GB"/>
              </w:rPr>
            </w:pPr>
            <w:r w:rsidRPr="00CE12AB">
              <w:rPr>
                <w:rFonts w:ascii="Lato" w:hAnsi="Lato"/>
                <w:b/>
                <w:bCs/>
                <w:color w:val="000000"/>
                <w:lang w:eastAsia="en-GB"/>
              </w:rPr>
              <w:t>Under occupying by one bedroom</w:t>
            </w:r>
          </w:p>
        </w:tc>
        <w:tc>
          <w:tcPr>
            <w:tcW w:w="2300" w:type="dxa"/>
            <w:tcBorders>
              <w:top w:val="nil"/>
              <w:left w:val="nil"/>
              <w:bottom w:val="single" w:sz="4" w:space="0" w:color="auto"/>
              <w:right w:val="single" w:sz="4" w:space="0" w:color="auto"/>
            </w:tcBorders>
            <w:shd w:val="clear" w:color="auto" w:fill="auto"/>
            <w:noWrap/>
            <w:vAlign w:val="center"/>
            <w:hideMark/>
          </w:tcPr>
          <w:p w14:paraId="00141963" w14:textId="7F832CE2" w:rsidR="00CC6C98" w:rsidRPr="00CE12AB" w:rsidRDefault="00315503" w:rsidP="00CC6C98">
            <w:pPr>
              <w:spacing w:after="0" w:line="240" w:lineRule="auto"/>
              <w:jc w:val="center"/>
              <w:rPr>
                <w:rFonts w:ascii="Lato" w:hAnsi="Lato"/>
                <w:b/>
                <w:bCs/>
                <w:color w:val="000000"/>
                <w:lang w:eastAsia="en-GB"/>
              </w:rPr>
            </w:pPr>
            <w:r>
              <w:rPr>
                <w:rFonts w:ascii="Lato" w:hAnsi="Lato"/>
                <w:b/>
                <w:bCs/>
                <w:color w:val="000000"/>
                <w:lang w:eastAsia="en-GB"/>
              </w:rPr>
              <w:t>158</w:t>
            </w:r>
          </w:p>
        </w:tc>
      </w:tr>
      <w:tr w:rsidR="00CC6C98" w:rsidRPr="00CE12AB" w14:paraId="7BF1B8E0" w14:textId="77777777" w:rsidTr="00137C07">
        <w:trPr>
          <w:trHeight w:val="5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154A0267" w14:textId="1834C977" w:rsidR="00CC6C98" w:rsidRPr="00CE12AB" w:rsidRDefault="00CC6C98" w:rsidP="00FF6408">
            <w:pPr>
              <w:spacing w:after="0" w:line="240" w:lineRule="auto"/>
              <w:rPr>
                <w:rFonts w:ascii="Lato" w:hAnsi="Lato"/>
                <w:b/>
                <w:bCs/>
                <w:color w:val="000000"/>
                <w:lang w:eastAsia="en-GB"/>
              </w:rPr>
            </w:pPr>
            <w:r w:rsidRPr="00CE12AB">
              <w:rPr>
                <w:rFonts w:ascii="Lato" w:hAnsi="Lato"/>
                <w:b/>
                <w:bCs/>
                <w:color w:val="000000"/>
                <w:lang w:eastAsia="en-GB"/>
              </w:rPr>
              <w:t xml:space="preserve">Under occupying by two </w:t>
            </w:r>
            <w:r w:rsidR="00AA117D">
              <w:rPr>
                <w:rFonts w:ascii="Lato" w:hAnsi="Lato"/>
                <w:b/>
                <w:bCs/>
                <w:color w:val="000000"/>
                <w:lang w:eastAsia="en-GB"/>
              </w:rPr>
              <w:t xml:space="preserve">or more </w:t>
            </w:r>
            <w:r w:rsidRPr="00CE12AB">
              <w:rPr>
                <w:rFonts w:ascii="Lato" w:hAnsi="Lato"/>
                <w:b/>
                <w:bCs/>
                <w:color w:val="000000"/>
                <w:lang w:eastAsia="en-GB"/>
              </w:rPr>
              <w:t>bedrooms</w:t>
            </w:r>
          </w:p>
        </w:tc>
        <w:tc>
          <w:tcPr>
            <w:tcW w:w="2300" w:type="dxa"/>
            <w:tcBorders>
              <w:top w:val="nil"/>
              <w:left w:val="nil"/>
              <w:bottom w:val="single" w:sz="4" w:space="0" w:color="auto"/>
              <w:right w:val="single" w:sz="4" w:space="0" w:color="auto"/>
            </w:tcBorders>
            <w:shd w:val="clear" w:color="auto" w:fill="auto"/>
            <w:noWrap/>
            <w:vAlign w:val="center"/>
            <w:hideMark/>
          </w:tcPr>
          <w:p w14:paraId="534AE9A1" w14:textId="5653D206" w:rsidR="00CC6C98" w:rsidRPr="00CE12AB" w:rsidRDefault="00315503" w:rsidP="00CC6C98">
            <w:pPr>
              <w:spacing w:after="0" w:line="240" w:lineRule="auto"/>
              <w:jc w:val="center"/>
              <w:rPr>
                <w:rFonts w:ascii="Lato" w:hAnsi="Lato"/>
                <w:b/>
                <w:bCs/>
                <w:color w:val="000000"/>
                <w:lang w:eastAsia="en-GB"/>
              </w:rPr>
            </w:pPr>
            <w:r>
              <w:rPr>
                <w:rFonts w:ascii="Lato" w:hAnsi="Lato"/>
                <w:b/>
                <w:bCs/>
                <w:color w:val="000000"/>
                <w:lang w:eastAsia="en-GB"/>
              </w:rPr>
              <w:t>63</w:t>
            </w:r>
          </w:p>
        </w:tc>
      </w:tr>
      <w:tr w:rsidR="00CC6C98" w:rsidRPr="00CE12AB" w14:paraId="2D44AD42" w14:textId="77777777" w:rsidTr="00CC6C98">
        <w:trPr>
          <w:trHeight w:val="288"/>
        </w:trPr>
        <w:tc>
          <w:tcPr>
            <w:tcW w:w="3440" w:type="dxa"/>
            <w:tcBorders>
              <w:top w:val="nil"/>
              <w:left w:val="single" w:sz="4" w:space="0" w:color="auto"/>
              <w:bottom w:val="single" w:sz="4" w:space="0" w:color="auto"/>
              <w:right w:val="single" w:sz="4" w:space="0" w:color="auto"/>
            </w:tcBorders>
            <w:shd w:val="clear" w:color="000000" w:fill="D9D9D9"/>
            <w:noWrap/>
            <w:vAlign w:val="center"/>
            <w:hideMark/>
          </w:tcPr>
          <w:p w14:paraId="034E5F17" w14:textId="77777777" w:rsidR="00CC6C98" w:rsidRPr="00CE12AB" w:rsidRDefault="00CC6C98" w:rsidP="00CC6C98">
            <w:pPr>
              <w:spacing w:after="0" w:line="240" w:lineRule="auto"/>
              <w:rPr>
                <w:rFonts w:ascii="Lato" w:hAnsi="Lato"/>
                <w:b/>
                <w:bCs/>
                <w:color w:val="000000"/>
                <w:lang w:eastAsia="en-GB"/>
              </w:rPr>
            </w:pPr>
            <w:r w:rsidRPr="00CE12AB">
              <w:rPr>
                <w:rFonts w:ascii="Lato" w:hAnsi="Lato"/>
                <w:b/>
                <w:bCs/>
                <w:color w:val="000000"/>
                <w:lang w:eastAsia="en-GB"/>
              </w:rPr>
              <w:t xml:space="preserve">Total </w:t>
            </w:r>
          </w:p>
        </w:tc>
        <w:tc>
          <w:tcPr>
            <w:tcW w:w="2300" w:type="dxa"/>
            <w:tcBorders>
              <w:top w:val="nil"/>
              <w:left w:val="nil"/>
              <w:bottom w:val="single" w:sz="4" w:space="0" w:color="auto"/>
              <w:right w:val="single" w:sz="4" w:space="0" w:color="auto"/>
            </w:tcBorders>
            <w:shd w:val="clear" w:color="000000" w:fill="D9D9D9"/>
            <w:noWrap/>
            <w:vAlign w:val="center"/>
            <w:hideMark/>
          </w:tcPr>
          <w:p w14:paraId="70A2B69E" w14:textId="48BFD3E8" w:rsidR="00CC6C98" w:rsidRPr="00CE12AB" w:rsidRDefault="00CC6C98" w:rsidP="00137C07">
            <w:pPr>
              <w:spacing w:after="0" w:line="240" w:lineRule="auto"/>
              <w:jc w:val="center"/>
              <w:rPr>
                <w:rFonts w:ascii="Lato" w:hAnsi="Lato"/>
                <w:b/>
                <w:bCs/>
                <w:color w:val="000000"/>
                <w:lang w:eastAsia="en-GB"/>
              </w:rPr>
            </w:pPr>
            <w:r w:rsidRPr="00CE12AB">
              <w:rPr>
                <w:rFonts w:ascii="Lato" w:hAnsi="Lato"/>
                <w:b/>
                <w:bCs/>
                <w:color w:val="000000"/>
                <w:lang w:eastAsia="en-GB"/>
              </w:rPr>
              <w:t>2</w:t>
            </w:r>
            <w:r w:rsidR="00134BDA">
              <w:rPr>
                <w:rFonts w:ascii="Lato" w:hAnsi="Lato"/>
                <w:b/>
                <w:bCs/>
                <w:color w:val="000000"/>
                <w:lang w:eastAsia="en-GB"/>
              </w:rPr>
              <w:t>21</w:t>
            </w:r>
          </w:p>
        </w:tc>
      </w:tr>
    </w:tbl>
    <w:p w14:paraId="1D3DEE36" w14:textId="77777777" w:rsidR="00AC0196" w:rsidRPr="00E154F5" w:rsidRDefault="00AC0196" w:rsidP="00AC0196">
      <w:pPr>
        <w:jc w:val="both"/>
        <w:rPr>
          <w:rFonts w:ascii="Lato" w:hAnsi="Lato" w:cs="Calibri"/>
        </w:rPr>
      </w:pPr>
    </w:p>
    <w:p w14:paraId="6BE83E05" w14:textId="665A37E6" w:rsidR="00AC0196" w:rsidRDefault="002E0366" w:rsidP="00AC0196">
      <w:pPr>
        <w:jc w:val="both"/>
        <w:rPr>
          <w:rFonts w:ascii="Lato" w:hAnsi="Lato" w:cs="Calibri"/>
        </w:rPr>
      </w:pPr>
      <w:bookmarkStart w:id="0" w:name="_Hlk184133948"/>
      <w:r w:rsidRPr="002E0366">
        <w:rPr>
          <w:rFonts w:ascii="Lato" w:hAnsi="Lato" w:cs="Calibri"/>
        </w:rPr>
        <w:t>To</w:t>
      </w:r>
      <w:r w:rsidR="00AC0196" w:rsidRPr="002E0366">
        <w:rPr>
          <w:rFonts w:ascii="Lato" w:hAnsi="Lato" w:cs="Calibri"/>
        </w:rPr>
        <w:t xml:space="preserve"> promote ‘rightsizing’ within the borough, </w:t>
      </w:r>
      <w:r w:rsidRPr="002E0366">
        <w:rPr>
          <w:rFonts w:ascii="Lato" w:hAnsi="Lato" w:cs="Calibri"/>
        </w:rPr>
        <w:t>Prima proposes</w:t>
      </w:r>
      <w:r w:rsidR="00AC0196" w:rsidRPr="002E0366">
        <w:rPr>
          <w:rFonts w:ascii="Lato" w:hAnsi="Lato" w:cs="Calibri"/>
        </w:rPr>
        <w:t xml:space="preserve"> that </w:t>
      </w:r>
      <w:r w:rsidR="000A1BEE">
        <w:rPr>
          <w:rFonts w:ascii="Lato" w:hAnsi="Lato" w:cs="Calibri"/>
        </w:rPr>
        <w:t>2</w:t>
      </w:r>
      <w:r w:rsidR="00AC0196" w:rsidRPr="002E0366">
        <w:rPr>
          <w:rFonts w:ascii="Lato" w:hAnsi="Lato" w:cs="Calibri"/>
        </w:rPr>
        <w:t xml:space="preserve"> (</w:t>
      </w:r>
      <w:r w:rsidR="000A1BEE">
        <w:rPr>
          <w:rFonts w:ascii="Lato" w:hAnsi="Lato" w:cs="Calibri"/>
        </w:rPr>
        <w:t>18</w:t>
      </w:r>
      <w:r w:rsidR="00AC0196" w:rsidRPr="002E0366">
        <w:rPr>
          <w:rFonts w:ascii="Lato" w:hAnsi="Lato" w:cs="Calibri"/>
        </w:rPr>
        <w:t>%) properties will be prioritised for applicants who are current social housing tenants and are under occupying their property by one or two bedrooms</w:t>
      </w:r>
      <w:r w:rsidRPr="002E0366">
        <w:rPr>
          <w:rFonts w:ascii="Lato" w:hAnsi="Lato" w:cs="Calibri"/>
        </w:rPr>
        <w:t xml:space="preserve">. </w:t>
      </w:r>
      <w:bookmarkEnd w:id="0"/>
      <w:r w:rsidRPr="002E0366">
        <w:rPr>
          <w:rFonts w:ascii="Lato" w:hAnsi="Lato" w:cs="Calibri"/>
        </w:rPr>
        <w:t>This will</w:t>
      </w:r>
      <w:r w:rsidR="00AC0196" w:rsidRPr="002E0366">
        <w:rPr>
          <w:rFonts w:ascii="Lato" w:hAnsi="Lato" w:cs="Calibri"/>
        </w:rPr>
        <w:t xml:space="preserve"> enable them to move into accommodation that meets their</w:t>
      </w:r>
      <w:r w:rsidRPr="002E0366">
        <w:rPr>
          <w:rFonts w:ascii="Lato" w:hAnsi="Lato" w:cs="Calibri"/>
        </w:rPr>
        <w:t xml:space="preserve"> housing</w:t>
      </w:r>
      <w:r w:rsidR="00AC0196" w:rsidRPr="002E0366">
        <w:rPr>
          <w:rFonts w:ascii="Lato" w:hAnsi="Lato" w:cs="Calibri"/>
        </w:rPr>
        <w:t xml:space="preserve"> need</w:t>
      </w:r>
      <w:r>
        <w:rPr>
          <w:rFonts w:ascii="Lato" w:hAnsi="Lato" w:cs="Calibri"/>
        </w:rPr>
        <w:t>, making available</w:t>
      </w:r>
      <w:r w:rsidRPr="002E0366">
        <w:rPr>
          <w:rFonts w:ascii="Lato" w:hAnsi="Lato" w:cs="Calibri"/>
        </w:rPr>
        <w:t xml:space="preserve"> larger</w:t>
      </w:r>
      <w:r w:rsidR="000A1BEE">
        <w:rPr>
          <w:rFonts w:ascii="Lato" w:hAnsi="Lato" w:cs="Calibri"/>
        </w:rPr>
        <w:t xml:space="preserve"> social housing</w:t>
      </w:r>
      <w:r w:rsidRPr="002E0366">
        <w:rPr>
          <w:rFonts w:ascii="Lato" w:hAnsi="Lato" w:cs="Calibri"/>
        </w:rPr>
        <w:t xml:space="preserve"> properties for families in Knowsley</w:t>
      </w:r>
      <w:r w:rsidR="00AC0196" w:rsidRPr="002E0366">
        <w:rPr>
          <w:rFonts w:ascii="Lato" w:hAnsi="Lato" w:cs="Calibri"/>
        </w:rPr>
        <w:t>.</w:t>
      </w:r>
      <w:r w:rsidR="00AC0196" w:rsidRPr="00E154F5">
        <w:rPr>
          <w:rFonts w:ascii="Lato" w:hAnsi="Lato" w:cs="Calibri"/>
        </w:rPr>
        <w:t xml:space="preserve"> </w:t>
      </w:r>
    </w:p>
    <w:p w14:paraId="14B168A4" w14:textId="12FD2DC2" w:rsidR="00091BD6" w:rsidRPr="00847198" w:rsidRDefault="00091BD6" w:rsidP="00AC0196">
      <w:pPr>
        <w:jc w:val="both"/>
        <w:rPr>
          <w:rFonts w:ascii="Lato" w:hAnsi="Lato" w:cs="Calibri"/>
          <w:b/>
          <w:bCs/>
        </w:rPr>
      </w:pPr>
      <w:r w:rsidRPr="00847198">
        <w:rPr>
          <w:rFonts w:ascii="Lato" w:hAnsi="Lato" w:cs="Calibri"/>
          <w:b/>
          <w:bCs/>
        </w:rPr>
        <w:t>Care</w:t>
      </w:r>
      <w:r w:rsidRPr="00F12329">
        <w:rPr>
          <w:rFonts w:ascii="Lato" w:hAnsi="Lato" w:cs="Calibri"/>
          <w:b/>
          <w:bCs/>
        </w:rPr>
        <w:t xml:space="preserve"> </w:t>
      </w:r>
      <w:r w:rsidR="008264F7">
        <w:rPr>
          <w:rFonts w:ascii="Lato" w:hAnsi="Lato" w:cs="Calibri"/>
          <w:b/>
          <w:bCs/>
        </w:rPr>
        <w:t>Lea</w:t>
      </w:r>
      <w:r w:rsidRPr="00847198">
        <w:rPr>
          <w:rFonts w:ascii="Lato" w:hAnsi="Lato" w:cs="Calibri"/>
          <w:b/>
          <w:bCs/>
        </w:rPr>
        <w:t>vers</w:t>
      </w:r>
    </w:p>
    <w:p w14:paraId="4EBE395F" w14:textId="4DD04983" w:rsidR="00091BD6" w:rsidRPr="00F12329" w:rsidRDefault="00B226F9" w:rsidP="00AC0196">
      <w:pPr>
        <w:jc w:val="both"/>
        <w:rPr>
          <w:rFonts w:ascii="Lato" w:hAnsi="Lato" w:cs="Calibri"/>
        </w:rPr>
      </w:pPr>
      <w:r>
        <w:rPr>
          <w:rFonts w:ascii="Lato" w:hAnsi="Lato" w:cs="Calibri"/>
        </w:rPr>
        <w:t xml:space="preserve">Prima </w:t>
      </w:r>
      <w:r w:rsidR="00DE3D15">
        <w:rPr>
          <w:rFonts w:ascii="Lato" w:hAnsi="Lato" w:cs="Calibri"/>
        </w:rPr>
        <w:t xml:space="preserve">Group </w:t>
      </w:r>
      <w:r>
        <w:rPr>
          <w:rFonts w:ascii="Lato" w:hAnsi="Lato" w:cs="Calibri"/>
        </w:rPr>
        <w:t xml:space="preserve">are keen to </w:t>
      </w:r>
      <w:r w:rsidR="00F01796">
        <w:rPr>
          <w:rFonts w:ascii="Lato" w:hAnsi="Lato" w:cs="Calibri"/>
        </w:rPr>
        <w:t xml:space="preserve">support care leavers moving into permanent </w:t>
      </w:r>
      <w:r w:rsidR="00546E4C">
        <w:rPr>
          <w:rFonts w:ascii="Lato" w:hAnsi="Lato" w:cs="Calibri"/>
        </w:rPr>
        <w:t>accommodation, t</w:t>
      </w:r>
      <w:r w:rsidR="00091BD6" w:rsidRPr="00F12329">
        <w:rPr>
          <w:rFonts w:ascii="Lato" w:hAnsi="Lato" w:cs="Calibri"/>
        </w:rPr>
        <w:t>he number of care leavers</w:t>
      </w:r>
      <w:r w:rsidR="00F20247" w:rsidRPr="00F12329">
        <w:rPr>
          <w:rFonts w:ascii="Lato" w:hAnsi="Lato" w:cs="Calibri"/>
        </w:rPr>
        <w:t xml:space="preserve"> on</w:t>
      </w:r>
      <w:r w:rsidR="00091BD6" w:rsidRPr="00F12329">
        <w:rPr>
          <w:rFonts w:ascii="Lato" w:hAnsi="Lato" w:cs="Calibri"/>
        </w:rPr>
        <w:t xml:space="preserve"> </w:t>
      </w:r>
      <w:r w:rsidR="00F20247" w:rsidRPr="00F12329">
        <w:rPr>
          <w:rFonts w:ascii="Lato" w:hAnsi="Lato" w:cs="Calibri"/>
        </w:rPr>
        <w:t>Knowsley’s Housing Register</w:t>
      </w:r>
      <w:r w:rsidR="00CE3117">
        <w:rPr>
          <w:rFonts w:ascii="Lato" w:hAnsi="Lato" w:cs="Calibri"/>
        </w:rPr>
        <w:t xml:space="preserve"> as of January 2025</w:t>
      </w:r>
      <w:r w:rsidR="00F20247" w:rsidRPr="00F12329">
        <w:rPr>
          <w:rFonts w:ascii="Lato" w:hAnsi="Lato" w:cs="Calibri"/>
        </w:rPr>
        <w:t xml:space="preserve"> </w:t>
      </w:r>
      <w:r w:rsidR="0066514A" w:rsidRPr="00F12329">
        <w:rPr>
          <w:rFonts w:ascii="Lato" w:hAnsi="Lato" w:cs="Calibri"/>
        </w:rPr>
        <w:t xml:space="preserve">with need for a </w:t>
      </w:r>
      <w:r w:rsidR="001864CB" w:rsidRPr="00F12329">
        <w:rPr>
          <w:rFonts w:ascii="Lato" w:hAnsi="Lato" w:cs="Calibri"/>
        </w:rPr>
        <w:t>one-bedroom</w:t>
      </w:r>
      <w:r w:rsidR="0066514A" w:rsidRPr="00F12329">
        <w:rPr>
          <w:rFonts w:ascii="Lato" w:hAnsi="Lato" w:cs="Calibri"/>
        </w:rPr>
        <w:t xml:space="preserve"> property </w:t>
      </w:r>
      <w:r w:rsidR="000C1A0A" w:rsidRPr="00F12329">
        <w:rPr>
          <w:rFonts w:ascii="Lato" w:hAnsi="Lato" w:cs="Calibri"/>
        </w:rPr>
        <w:t>is included in</w:t>
      </w:r>
      <w:r w:rsidR="008264F7">
        <w:rPr>
          <w:rFonts w:ascii="Lato" w:hAnsi="Lato" w:cs="Calibri"/>
        </w:rPr>
        <w:t xml:space="preserve"> the</w:t>
      </w:r>
      <w:r w:rsidR="000C1A0A" w:rsidRPr="00F12329">
        <w:rPr>
          <w:rFonts w:ascii="Lato" w:hAnsi="Lato" w:cs="Calibri"/>
        </w:rPr>
        <w:t xml:space="preserve"> breakdown below</w:t>
      </w:r>
      <w:r w:rsidR="00546E4C">
        <w:rPr>
          <w:rFonts w:ascii="Lato" w:hAnsi="Lato" w:cs="Calibri"/>
        </w:rPr>
        <w:t>:</w:t>
      </w:r>
    </w:p>
    <w:tbl>
      <w:tblPr>
        <w:tblStyle w:val="TableGrid"/>
        <w:tblW w:w="0" w:type="auto"/>
        <w:tblLook w:val="04A0" w:firstRow="1" w:lastRow="0" w:firstColumn="1" w:lastColumn="0" w:noHBand="0" w:noVBand="1"/>
      </w:tblPr>
      <w:tblGrid>
        <w:gridCol w:w="1816"/>
        <w:gridCol w:w="1816"/>
        <w:gridCol w:w="1816"/>
      </w:tblGrid>
      <w:tr w:rsidR="00166515" w14:paraId="3A7084C2" w14:textId="77777777" w:rsidTr="00166515">
        <w:trPr>
          <w:trHeight w:val="339"/>
        </w:trPr>
        <w:tc>
          <w:tcPr>
            <w:tcW w:w="5448" w:type="dxa"/>
            <w:gridSpan w:val="3"/>
            <w:shd w:val="clear" w:color="auto" w:fill="D9D9D9" w:themeFill="background1" w:themeFillShade="D9"/>
          </w:tcPr>
          <w:p w14:paraId="7E4BBBCC" w14:textId="6F75D959" w:rsidR="00166515" w:rsidRPr="00166515" w:rsidRDefault="00166515" w:rsidP="00847198">
            <w:pPr>
              <w:jc w:val="center"/>
              <w:rPr>
                <w:rFonts w:ascii="Lato" w:hAnsi="Lato" w:cs="Calibri"/>
                <w:b/>
                <w:bCs/>
              </w:rPr>
            </w:pPr>
            <w:r>
              <w:rPr>
                <w:rFonts w:ascii="Lato" w:hAnsi="Lato" w:cs="Calibri"/>
                <w:b/>
                <w:bCs/>
              </w:rPr>
              <w:t>Knowsley Care Leavers</w:t>
            </w:r>
          </w:p>
        </w:tc>
      </w:tr>
      <w:tr w:rsidR="00166515" w14:paraId="5F7E9EDE" w14:textId="77777777" w:rsidTr="00DA6017">
        <w:trPr>
          <w:trHeight w:val="664"/>
        </w:trPr>
        <w:tc>
          <w:tcPr>
            <w:tcW w:w="1816" w:type="dxa"/>
          </w:tcPr>
          <w:p w14:paraId="44A07323" w14:textId="3BE43F34" w:rsidR="00166515" w:rsidRPr="00166515" w:rsidRDefault="00166515" w:rsidP="00166515">
            <w:pPr>
              <w:jc w:val="center"/>
              <w:rPr>
                <w:rFonts w:ascii="Lato" w:hAnsi="Lato" w:cs="Calibri"/>
                <w:b/>
                <w:bCs/>
              </w:rPr>
            </w:pPr>
            <w:r w:rsidRPr="00166515">
              <w:rPr>
                <w:rFonts w:ascii="Lato" w:hAnsi="Lato" w:cs="Calibri"/>
                <w:b/>
                <w:bCs/>
              </w:rPr>
              <w:t>Knowsley Housing Band</w:t>
            </w:r>
          </w:p>
        </w:tc>
        <w:tc>
          <w:tcPr>
            <w:tcW w:w="1816" w:type="dxa"/>
          </w:tcPr>
          <w:p w14:paraId="5A6DE6BF" w14:textId="3E598E06" w:rsidR="00166515" w:rsidRPr="00166515" w:rsidRDefault="00166515" w:rsidP="00166515">
            <w:pPr>
              <w:jc w:val="center"/>
              <w:rPr>
                <w:rFonts w:ascii="Lato" w:hAnsi="Lato" w:cs="Calibri"/>
                <w:b/>
                <w:bCs/>
              </w:rPr>
            </w:pPr>
            <w:r w:rsidRPr="00166515">
              <w:rPr>
                <w:rFonts w:ascii="Lato" w:hAnsi="Lato" w:cs="Calibri"/>
                <w:b/>
                <w:bCs/>
              </w:rPr>
              <w:t>1 Bedroom</w:t>
            </w:r>
          </w:p>
        </w:tc>
        <w:tc>
          <w:tcPr>
            <w:tcW w:w="1816" w:type="dxa"/>
          </w:tcPr>
          <w:p w14:paraId="453A0FD8" w14:textId="0CAA57BF" w:rsidR="00166515" w:rsidRPr="00166515" w:rsidRDefault="00166515" w:rsidP="00166515">
            <w:pPr>
              <w:jc w:val="center"/>
              <w:rPr>
                <w:rFonts w:ascii="Lato" w:hAnsi="Lato" w:cs="Calibri"/>
                <w:b/>
                <w:bCs/>
              </w:rPr>
            </w:pPr>
            <w:r w:rsidRPr="00166515">
              <w:rPr>
                <w:rFonts w:ascii="Lato" w:hAnsi="Lato" w:cs="Calibri"/>
                <w:b/>
                <w:bCs/>
              </w:rPr>
              <w:t>2 Bedroom</w:t>
            </w:r>
          </w:p>
        </w:tc>
      </w:tr>
      <w:tr w:rsidR="00166515" w14:paraId="20681430" w14:textId="77777777" w:rsidTr="00166515">
        <w:trPr>
          <w:trHeight w:val="220"/>
        </w:trPr>
        <w:tc>
          <w:tcPr>
            <w:tcW w:w="1816" w:type="dxa"/>
          </w:tcPr>
          <w:p w14:paraId="09A1E5DD" w14:textId="403AD388" w:rsidR="00166515" w:rsidRDefault="00166515" w:rsidP="00166515">
            <w:pPr>
              <w:jc w:val="center"/>
              <w:rPr>
                <w:rFonts w:ascii="Lato" w:hAnsi="Lato" w:cs="Calibri"/>
              </w:rPr>
            </w:pPr>
            <w:r>
              <w:rPr>
                <w:rFonts w:ascii="Lato" w:hAnsi="Lato" w:cs="Calibri"/>
              </w:rPr>
              <w:t>A</w:t>
            </w:r>
          </w:p>
        </w:tc>
        <w:tc>
          <w:tcPr>
            <w:tcW w:w="1816" w:type="dxa"/>
          </w:tcPr>
          <w:p w14:paraId="22FC0B88" w14:textId="7CF34AE1" w:rsidR="00166515" w:rsidRDefault="00166515" w:rsidP="00166515">
            <w:pPr>
              <w:jc w:val="center"/>
              <w:rPr>
                <w:rFonts w:ascii="Lato" w:hAnsi="Lato" w:cs="Calibri"/>
              </w:rPr>
            </w:pPr>
            <w:r>
              <w:rPr>
                <w:rFonts w:ascii="Lato" w:hAnsi="Lato" w:cs="Calibri"/>
              </w:rPr>
              <w:t>24</w:t>
            </w:r>
          </w:p>
        </w:tc>
        <w:tc>
          <w:tcPr>
            <w:tcW w:w="1816" w:type="dxa"/>
          </w:tcPr>
          <w:p w14:paraId="3A531562" w14:textId="5AC2F81B" w:rsidR="00166515" w:rsidRDefault="00166515" w:rsidP="00166515">
            <w:pPr>
              <w:jc w:val="center"/>
              <w:rPr>
                <w:rFonts w:ascii="Lato" w:hAnsi="Lato" w:cs="Calibri"/>
              </w:rPr>
            </w:pPr>
            <w:r>
              <w:rPr>
                <w:rFonts w:ascii="Lato" w:hAnsi="Lato" w:cs="Calibri"/>
              </w:rPr>
              <w:t>6</w:t>
            </w:r>
          </w:p>
        </w:tc>
      </w:tr>
    </w:tbl>
    <w:p w14:paraId="09553058" w14:textId="77777777" w:rsidR="00795812" w:rsidRPr="00F12329" w:rsidRDefault="00795812" w:rsidP="00AC0196">
      <w:pPr>
        <w:jc w:val="both"/>
        <w:rPr>
          <w:rFonts w:ascii="Lato" w:hAnsi="Lato" w:cs="Calibri"/>
        </w:rPr>
      </w:pPr>
    </w:p>
    <w:p w14:paraId="319782A0" w14:textId="4CF59B74" w:rsidR="00D85441" w:rsidRPr="00F12329" w:rsidRDefault="00D752B8" w:rsidP="00AC0196">
      <w:pPr>
        <w:jc w:val="both"/>
        <w:rPr>
          <w:rFonts w:ascii="Lato" w:hAnsi="Lato" w:cs="Calibri"/>
        </w:rPr>
      </w:pPr>
      <w:r w:rsidRPr="00F12329">
        <w:rPr>
          <w:rFonts w:ascii="Lato" w:hAnsi="Lato" w:cs="Calibri"/>
        </w:rPr>
        <w:t xml:space="preserve">To ensure a care leaver sustains their tenancy and has appropriate support required for their needs, Prima would expect the care leaver to have a </w:t>
      </w:r>
      <w:r w:rsidR="00DE3D15">
        <w:rPr>
          <w:rFonts w:ascii="Lato" w:hAnsi="Lato" w:cs="Calibri"/>
        </w:rPr>
        <w:t>Personal Advisor (PA)</w:t>
      </w:r>
      <w:r w:rsidRPr="00F12329">
        <w:rPr>
          <w:rFonts w:ascii="Lato" w:hAnsi="Lato" w:cs="Calibri"/>
        </w:rPr>
        <w:t xml:space="preserve"> </w:t>
      </w:r>
      <w:r w:rsidR="002B455F" w:rsidRPr="00F12329">
        <w:rPr>
          <w:rFonts w:ascii="Lato" w:hAnsi="Lato" w:cs="Calibri"/>
        </w:rPr>
        <w:t xml:space="preserve">for support </w:t>
      </w:r>
      <w:r w:rsidR="00CA64D1" w:rsidRPr="00F12329">
        <w:rPr>
          <w:rFonts w:ascii="Lato" w:hAnsi="Lato" w:cs="Calibri"/>
        </w:rPr>
        <w:t xml:space="preserve">and this arrangement </w:t>
      </w:r>
      <w:r w:rsidR="00DE3D15">
        <w:rPr>
          <w:rFonts w:ascii="Lato" w:hAnsi="Lato" w:cs="Calibri"/>
        </w:rPr>
        <w:t>will be ongoing throughout their tenancy until the age of 25.</w:t>
      </w:r>
    </w:p>
    <w:p w14:paraId="6FC155C0" w14:textId="122AD5B0" w:rsidR="00182E32" w:rsidRPr="00F12329" w:rsidRDefault="00CA64D1" w:rsidP="00AC0196">
      <w:pPr>
        <w:jc w:val="both"/>
        <w:rPr>
          <w:rFonts w:ascii="Lato" w:hAnsi="Lato" w:cs="Calibri"/>
        </w:rPr>
      </w:pPr>
      <w:r w:rsidRPr="00F12329">
        <w:rPr>
          <w:rFonts w:ascii="Lato" w:hAnsi="Lato" w:cs="Calibri"/>
        </w:rPr>
        <w:t xml:space="preserve">If the support from the PA </w:t>
      </w:r>
      <w:r w:rsidR="0014574C" w:rsidRPr="00F12329">
        <w:rPr>
          <w:rFonts w:ascii="Lato" w:hAnsi="Lato" w:cs="Calibri"/>
        </w:rPr>
        <w:t xml:space="preserve">is terminated, </w:t>
      </w:r>
      <w:r w:rsidR="0043410E">
        <w:rPr>
          <w:rFonts w:ascii="Lato" w:hAnsi="Lato" w:cs="Calibri"/>
        </w:rPr>
        <w:t>Prima</w:t>
      </w:r>
      <w:r w:rsidR="0014574C" w:rsidRPr="00F12329">
        <w:rPr>
          <w:rFonts w:ascii="Lato" w:hAnsi="Lato" w:cs="Calibri"/>
        </w:rPr>
        <w:t xml:space="preserve"> would expect the tenant or PA to advise Prima of this arrangement</w:t>
      </w:r>
      <w:r w:rsidR="00D60398" w:rsidRPr="00F12329">
        <w:rPr>
          <w:rFonts w:ascii="Lato" w:hAnsi="Lato" w:cs="Calibri"/>
        </w:rPr>
        <w:t xml:space="preserve">.  </w:t>
      </w:r>
      <w:r w:rsidR="0043410E">
        <w:rPr>
          <w:rFonts w:ascii="Lato" w:hAnsi="Lato" w:cs="Calibri"/>
        </w:rPr>
        <w:t xml:space="preserve">A </w:t>
      </w:r>
      <w:r w:rsidR="00D60398" w:rsidRPr="00F12329">
        <w:rPr>
          <w:rFonts w:ascii="Lato" w:hAnsi="Lato" w:cs="Calibri"/>
        </w:rPr>
        <w:t xml:space="preserve">Prima housing officer will </w:t>
      </w:r>
      <w:r w:rsidR="00433961" w:rsidRPr="00F12329">
        <w:rPr>
          <w:rFonts w:ascii="Lato" w:hAnsi="Lato" w:cs="Calibri"/>
        </w:rPr>
        <w:t xml:space="preserve">also engage with the care leaver </w:t>
      </w:r>
      <w:r w:rsidR="0011500B" w:rsidRPr="00F12329">
        <w:rPr>
          <w:rFonts w:ascii="Lato" w:hAnsi="Lato" w:cs="Calibri"/>
        </w:rPr>
        <w:t xml:space="preserve">on a quarterly basis </w:t>
      </w:r>
      <w:r w:rsidR="0043410E">
        <w:rPr>
          <w:rFonts w:ascii="Lato" w:hAnsi="Lato" w:cs="Calibri"/>
        </w:rPr>
        <w:t xml:space="preserve">once the tenancy commences </w:t>
      </w:r>
      <w:r w:rsidR="0011500B" w:rsidRPr="00F12329">
        <w:rPr>
          <w:rFonts w:ascii="Lato" w:hAnsi="Lato" w:cs="Calibri"/>
        </w:rPr>
        <w:t xml:space="preserve">to </w:t>
      </w:r>
      <w:r w:rsidR="00304854" w:rsidRPr="00F12329">
        <w:rPr>
          <w:rFonts w:ascii="Lato" w:hAnsi="Lato" w:cs="Calibri"/>
        </w:rPr>
        <w:t xml:space="preserve">provide and additional support and ensure they </w:t>
      </w:r>
      <w:r w:rsidR="005553B0">
        <w:rPr>
          <w:rFonts w:ascii="Lato" w:hAnsi="Lato" w:cs="Calibri"/>
        </w:rPr>
        <w:t xml:space="preserve">sustain their tenancy. </w:t>
      </w:r>
    </w:p>
    <w:p w14:paraId="75B1D40C" w14:textId="5DF93241" w:rsidR="002E0366" w:rsidRDefault="002E0366" w:rsidP="00AC0196">
      <w:pPr>
        <w:jc w:val="both"/>
        <w:rPr>
          <w:rFonts w:ascii="Lato" w:hAnsi="Lato" w:cs="Calibri"/>
          <w:b/>
          <w:bCs/>
        </w:rPr>
      </w:pPr>
      <w:r w:rsidRPr="002E0366">
        <w:rPr>
          <w:rFonts w:ascii="Lato" w:hAnsi="Lato" w:cs="Calibri"/>
          <w:b/>
          <w:bCs/>
        </w:rPr>
        <w:lastRenderedPageBreak/>
        <w:t>Verified Adapted Needs</w:t>
      </w:r>
    </w:p>
    <w:p w14:paraId="01DCA095" w14:textId="3D4126B8" w:rsidR="002E0366" w:rsidRPr="009D1E3B" w:rsidRDefault="002E0366" w:rsidP="009D1E3B">
      <w:pPr>
        <w:jc w:val="both"/>
        <w:rPr>
          <w:rFonts w:ascii="Lato" w:hAnsi="Lato" w:cs="Calibri"/>
        </w:rPr>
      </w:pPr>
      <w:r w:rsidRPr="00E154F5">
        <w:rPr>
          <w:rFonts w:ascii="Lato" w:hAnsi="Lato" w:cs="Calibri"/>
        </w:rPr>
        <w:t>The</w:t>
      </w:r>
      <w:r>
        <w:rPr>
          <w:rFonts w:ascii="Lato" w:hAnsi="Lato" w:cs="Calibri"/>
        </w:rPr>
        <w:t xml:space="preserve"> number of</w:t>
      </w:r>
      <w:r w:rsidRPr="00E154F5">
        <w:rPr>
          <w:rFonts w:ascii="Lato" w:hAnsi="Lato" w:cs="Calibri"/>
        </w:rPr>
        <w:t xml:space="preserve"> applicants on Knowsley’s Housing Register w</w:t>
      </w:r>
      <w:r>
        <w:rPr>
          <w:rFonts w:ascii="Lato" w:hAnsi="Lato" w:cs="Calibri"/>
        </w:rPr>
        <w:t xml:space="preserve">ith verified </w:t>
      </w:r>
      <w:r w:rsidR="009D1E3B">
        <w:rPr>
          <w:rFonts w:ascii="Lato" w:hAnsi="Lato" w:cs="Calibri"/>
        </w:rPr>
        <w:t xml:space="preserve">needs for an adapted </w:t>
      </w:r>
      <w:r w:rsidR="00B94A3C">
        <w:rPr>
          <w:rFonts w:ascii="Lato" w:hAnsi="Lato" w:cs="Calibri"/>
        </w:rPr>
        <w:t>one</w:t>
      </w:r>
      <w:r w:rsidR="009D1E3B">
        <w:rPr>
          <w:rFonts w:ascii="Lato" w:hAnsi="Lato" w:cs="Calibri"/>
        </w:rPr>
        <w:t xml:space="preserve"> </w:t>
      </w:r>
      <w:r w:rsidR="00B94A3C">
        <w:rPr>
          <w:rFonts w:ascii="Lato" w:hAnsi="Lato" w:cs="Calibri"/>
        </w:rPr>
        <w:t>or two</w:t>
      </w:r>
      <w:r w:rsidR="009D1E3B">
        <w:rPr>
          <w:rFonts w:ascii="Lato" w:hAnsi="Lato" w:cs="Calibri"/>
        </w:rPr>
        <w:t>-bedroom property</w:t>
      </w:r>
      <w:r w:rsidR="00CE3117">
        <w:rPr>
          <w:rFonts w:ascii="Lato" w:hAnsi="Lato" w:cs="Calibri"/>
        </w:rPr>
        <w:t>, as of January 2025,</w:t>
      </w:r>
      <w:r w:rsidR="009D1E3B">
        <w:rPr>
          <w:rFonts w:ascii="Lato" w:hAnsi="Lato" w:cs="Calibri"/>
        </w:rPr>
        <w:t xml:space="preserve"> </w:t>
      </w:r>
      <w:r>
        <w:rPr>
          <w:rFonts w:ascii="Lato" w:hAnsi="Lato" w:cs="Calibri"/>
        </w:rPr>
        <w:t>is shown on the table below</w:t>
      </w:r>
      <w:r w:rsidR="00B94A3C">
        <w:rPr>
          <w:rFonts w:ascii="Lato" w:hAnsi="Lato" w:cs="Calibri"/>
        </w:rPr>
        <w:t>:</w:t>
      </w:r>
    </w:p>
    <w:tbl>
      <w:tblPr>
        <w:tblW w:w="5524" w:type="dxa"/>
        <w:tblLook w:val="04A0" w:firstRow="1" w:lastRow="0" w:firstColumn="1" w:lastColumn="0" w:noHBand="0" w:noVBand="1"/>
      </w:tblPr>
      <w:tblGrid>
        <w:gridCol w:w="1838"/>
        <w:gridCol w:w="1843"/>
        <w:gridCol w:w="1843"/>
      </w:tblGrid>
      <w:tr w:rsidR="002E0366" w:rsidRPr="00CE3117" w14:paraId="26A132E6" w14:textId="77777777" w:rsidTr="00166515">
        <w:trPr>
          <w:trHeight w:val="288"/>
        </w:trPr>
        <w:tc>
          <w:tcPr>
            <w:tcW w:w="552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012860C" w14:textId="11AD6F7A" w:rsidR="002E0366" w:rsidRDefault="002E0366" w:rsidP="00166515">
            <w:pPr>
              <w:spacing w:after="0" w:line="240" w:lineRule="auto"/>
              <w:jc w:val="center"/>
              <w:rPr>
                <w:rFonts w:ascii="Lato" w:hAnsi="Lato"/>
                <w:b/>
                <w:bCs/>
                <w:color w:val="000000"/>
                <w:lang w:eastAsia="en-GB"/>
              </w:rPr>
            </w:pPr>
            <w:bookmarkStart w:id="1" w:name="_Hlk187740822"/>
            <w:r w:rsidRPr="00CE3117">
              <w:rPr>
                <w:rFonts w:ascii="Lato" w:hAnsi="Lato"/>
                <w:b/>
                <w:bCs/>
                <w:color w:val="000000"/>
                <w:lang w:eastAsia="en-GB"/>
              </w:rPr>
              <w:t>Verified Adapted Need</w:t>
            </w:r>
          </w:p>
          <w:p w14:paraId="69C43138" w14:textId="77777777" w:rsidR="00166515" w:rsidRPr="00CE3117" w:rsidRDefault="00166515" w:rsidP="00166515">
            <w:pPr>
              <w:spacing w:after="0" w:line="240" w:lineRule="auto"/>
              <w:rPr>
                <w:rFonts w:ascii="Lato" w:hAnsi="Lato"/>
                <w:b/>
                <w:bCs/>
                <w:color w:val="000000"/>
                <w:lang w:eastAsia="en-GB"/>
              </w:rPr>
            </w:pPr>
          </w:p>
        </w:tc>
      </w:tr>
      <w:tr w:rsidR="009D1E3B" w:rsidRPr="009D1E3B" w14:paraId="5F0421B2" w14:textId="77777777" w:rsidTr="00166515">
        <w:trPr>
          <w:trHeight w:val="28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12A5735" w14:textId="43907D89" w:rsidR="009D1E3B" w:rsidRPr="00166515" w:rsidRDefault="00166515" w:rsidP="009D1E3B">
            <w:pPr>
              <w:spacing w:after="0" w:line="240" w:lineRule="auto"/>
              <w:jc w:val="center"/>
              <w:rPr>
                <w:rFonts w:ascii="Lato" w:hAnsi="Lato"/>
                <w:b/>
                <w:bCs/>
                <w:color w:val="000000"/>
                <w:lang w:eastAsia="en-GB"/>
              </w:rPr>
            </w:pPr>
            <w:r w:rsidRPr="00166515">
              <w:rPr>
                <w:rFonts w:ascii="Lato" w:hAnsi="Lato"/>
                <w:b/>
                <w:bCs/>
                <w:color w:val="000000"/>
                <w:lang w:eastAsia="en-GB"/>
              </w:rPr>
              <w:t xml:space="preserve">Knowsley Housing </w:t>
            </w:r>
            <w:r w:rsidR="009D1E3B" w:rsidRPr="00166515">
              <w:rPr>
                <w:rFonts w:ascii="Lato" w:hAnsi="Lato"/>
                <w:b/>
                <w:bCs/>
                <w:color w:val="000000"/>
                <w:lang w:eastAsia="en-GB"/>
              </w:rPr>
              <w:t>Band</w:t>
            </w:r>
          </w:p>
        </w:tc>
        <w:tc>
          <w:tcPr>
            <w:tcW w:w="1843" w:type="dxa"/>
            <w:tcBorders>
              <w:top w:val="nil"/>
              <w:left w:val="nil"/>
              <w:bottom w:val="single" w:sz="4" w:space="0" w:color="auto"/>
              <w:right w:val="single" w:sz="4" w:space="0" w:color="auto"/>
            </w:tcBorders>
            <w:shd w:val="clear" w:color="auto" w:fill="auto"/>
            <w:vAlign w:val="center"/>
            <w:hideMark/>
          </w:tcPr>
          <w:p w14:paraId="206041D4" w14:textId="77777777" w:rsidR="009D1E3B" w:rsidRPr="00CE3117" w:rsidRDefault="009D1E3B" w:rsidP="009D1E3B">
            <w:pPr>
              <w:spacing w:after="0" w:line="240" w:lineRule="auto"/>
              <w:jc w:val="center"/>
              <w:rPr>
                <w:rFonts w:ascii="Lato" w:hAnsi="Lato"/>
                <w:b/>
                <w:bCs/>
                <w:color w:val="000000"/>
                <w:lang w:eastAsia="en-GB"/>
              </w:rPr>
            </w:pPr>
            <w:r w:rsidRPr="00CE3117">
              <w:rPr>
                <w:rFonts w:ascii="Lato" w:hAnsi="Lato"/>
                <w:b/>
                <w:bCs/>
                <w:color w:val="000000"/>
                <w:lang w:eastAsia="en-GB"/>
              </w:rPr>
              <w:t>1 bed</w:t>
            </w:r>
          </w:p>
        </w:tc>
        <w:tc>
          <w:tcPr>
            <w:tcW w:w="1843" w:type="dxa"/>
            <w:tcBorders>
              <w:top w:val="nil"/>
              <w:left w:val="nil"/>
              <w:bottom w:val="single" w:sz="4" w:space="0" w:color="auto"/>
              <w:right w:val="single" w:sz="4" w:space="0" w:color="auto"/>
            </w:tcBorders>
            <w:shd w:val="clear" w:color="auto" w:fill="auto"/>
            <w:vAlign w:val="center"/>
            <w:hideMark/>
          </w:tcPr>
          <w:p w14:paraId="27CA36FC" w14:textId="2320CF66" w:rsidR="009D1E3B" w:rsidRPr="00CE3117" w:rsidRDefault="009D1E3B" w:rsidP="009D1E3B">
            <w:pPr>
              <w:spacing w:after="0" w:line="240" w:lineRule="auto"/>
              <w:jc w:val="center"/>
              <w:rPr>
                <w:rFonts w:ascii="Lato" w:hAnsi="Lato"/>
                <w:b/>
                <w:bCs/>
                <w:color w:val="000000"/>
                <w:lang w:eastAsia="en-GB"/>
              </w:rPr>
            </w:pPr>
            <w:r w:rsidRPr="00CE3117">
              <w:rPr>
                <w:rFonts w:ascii="Lato" w:hAnsi="Lato"/>
                <w:b/>
                <w:bCs/>
                <w:color w:val="000000"/>
                <w:lang w:eastAsia="en-GB"/>
              </w:rPr>
              <w:t>2 bed</w:t>
            </w:r>
          </w:p>
        </w:tc>
      </w:tr>
      <w:tr w:rsidR="009D1E3B" w:rsidRPr="009D1E3B" w14:paraId="4E41ABDB" w14:textId="77777777" w:rsidTr="00166515">
        <w:trPr>
          <w:trHeight w:val="28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C8D9A82" w14:textId="77777777" w:rsidR="009D1E3B" w:rsidRPr="00CE3117" w:rsidRDefault="009D1E3B" w:rsidP="009D1E3B">
            <w:pPr>
              <w:spacing w:after="0" w:line="240" w:lineRule="auto"/>
              <w:jc w:val="center"/>
              <w:rPr>
                <w:rFonts w:ascii="Lato" w:hAnsi="Lato"/>
                <w:b/>
                <w:bCs/>
                <w:color w:val="000000"/>
                <w:lang w:eastAsia="en-GB"/>
              </w:rPr>
            </w:pPr>
            <w:r w:rsidRPr="00CE3117">
              <w:rPr>
                <w:rFonts w:ascii="Lato" w:hAnsi="Lato"/>
                <w:b/>
                <w:bCs/>
                <w:color w:val="000000"/>
                <w:lang w:eastAsia="en-GB"/>
              </w:rPr>
              <w:t>A</w:t>
            </w:r>
          </w:p>
        </w:tc>
        <w:tc>
          <w:tcPr>
            <w:tcW w:w="1843" w:type="dxa"/>
            <w:tcBorders>
              <w:top w:val="nil"/>
              <w:left w:val="nil"/>
              <w:bottom w:val="single" w:sz="4" w:space="0" w:color="auto"/>
              <w:right w:val="single" w:sz="4" w:space="0" w:color="auto"/>
            </w:tcBorders>
            <w:shd w:val="clear" w:color="auto" w:fill="auto"/>
            <w:vAlign w:val="center"/>
            <w:hideMark/>
          </w:tcPr>
          <w:p w14:paraId="1F6D35D6" w14:textId="5E25F87A" w:rsidR="009D1E3B" w:rsidRPr="00CE3117" w:rsidRDefault="009D1E3B" w:rsidP="009D1E3B">
            <w:pPr>
              <w:spacing w:after="0" w:line="240" w:lineRule="auto"/>
              <w:jc w:val="center"/>
              <w:rPr>
                <w:rFonts w:ascii="Lato" w:hAnsi="Lato"/>
                <w:b/>
                <w:bCs/>
                <w:color w:val="000000"/>
                <w:lang w:eastAsia="en-GB"/>
              </w:rPr>
            </w:pPr>
            <w:r w:rsidRPr="00CE3117">
              <w:rPr>
                <w:rFonts w:ascii="Lato" w:hAnsi="Lato"/>
                <w:b/>
                <w:bCs/>
                <w:color w:val="000000"/>
                <w:lang w:eastAsia="en-GB"/>
              </w:rPr>
              <w:t>1</w:t>
            </w:r>
            <w:r w:rsidR="00CE3117" w:rsidRPr="00CE3117">
              <w:rPr>
                <w:rFonts w:ascii="Lato" w:hAnsi="Lato"/>
                <w:b/>
                <w:bCs/>
                <w:color w:val="000000"/>
                <w:lang w:eastAsia="en-GB"/>
              </w:rPr>
              <w:t>8</w:t>
            </w:r>
          </w:p>
        </w:tc>
        <w:tc>
          <w:tcPr>
            <w:tcW w:w="1843" w:type="dxa"/>
            <w:tcBorders>
              <w:top w:val="nil"/>
              <w:left w:val="nil"/>
              <w:bottom w:val="single" w:sz="4" w:space="0" w:color="auto"/>
              <w:right w:val="single" w:sz="4" w:space="0" w:color="auto"/>
            </w:tcBorders>
            <w:shd w:val="clear" w:color="auto" w:fill="auto"/>
            <w:vAlign w:val="center"/>
            <w:hideMark/>
          </w:tcPr>
          <w:p w14:paraId="3BB70698" w14:textId="77777777" w:rsidR="009D1E3B" w:rsidRPr="00CE3117" w:rsidRDefault="009D1E3B" w:rsidP="009D1E3B">
            <w:pPr>
              <w:spacing w:after="0" w:line="240" w:lineRule="auto"/>
              <w:jc w:val="center"/>
              <w:rPr>
                <w:rFonts w:ascii="Lato" w:hAnsi="Lato"/>
                <w:b/>
                <w:bCs/>
                <w:color w:val="000000"/>
                <w:lang w:eastAsia="en-GB"/>
              </w:rPr>
            </w:pPr>
            <w:r w:rsidRPr="00CE3117">
              <w:rPr>
                <w:rFonts w:ascii="Lato" w:hAnsi="Lato"/>
                <w:b/>
                <w:bCs/>
                <w:color w:val="000000"/>
                <w:lang w:eastAsia="en-GB"/>
              </w:rPr>
              <w:t>5</w:t>
            </w:r>
          </w:p>
        </w:tc>
      </w:tr>
      <w:tr w:rsidR="009D1E3B" w:rsidRPr="009D1E3B" w14:paraId="120CFC94" w14:textId="77777777" w:rsidTr="00166515">
        <w:trPr>
          <w:trHeight w:val="28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86ADF01" w14:textId="77777777" w:rsidR="009D1E3B" w:rsidRPr="00CE3117" w:rsidRDefault="009D1E3B" w:rsidP="009D1E3B">
            <w:pPr>
              <w:spacing w:after="0" w:line="240" w:lineRule="auto"/>
              <w:jc w:val="center"/>
              <w:rPr>
                <w:rFonts w:ascii="Lato" w:hAnsi="Lato"/>
                <w:b/>
                <w:bCs/>
                <w:color w:val="000000"/>
                <w:lang w:eastAsia="en-GB"/>
              </w:rPr>
            </w:pPr>
            <w:r w:rsidRPr="00CE3117">
              <w:rPr>
                <w:rFonts w:ascii="Lato" w:hAnsi="Lato"/>
                <w:b/>
                <w:bCs/>
                <w:color w:val="000000"/>
                <w:lang w:eastAsia="en-GB"/>
              </w:rPr>
              <w:t>B</w:t>
            </w:r>
          </w:p>
        </w:tc>
        <w:tc>
          <w:tcPr>
            <w:tcW w:w="1843" w:type="dxa"/>
            <w:tcBorders>
              <w:top w:val="nil"/>
              <w:left w:val="nil"/>
              <w:bottom w:val="single" w:sz="4" w:space="0" w:color="auto"/>
              <w:right w:val="single" w:sz="4" w:space="0" w:color="auto"/>
            </w:tcBorders>
            <w:shd w:val="clear" w:color="auto" w:fill="auto"/>
            <w:vAlign w:val="center"/>
            <w:hideMark/>
          </w:tcPr>
          <w:p w14:paraId="46F9F929" w14:textId="13AEA208" w:rsidR="009D1E3B" w:rsidRPr="00CE3117" w:rsidRDefault="009D1E3B" w:rsidP="009D1E3B">
            <w:pPr>
              <w:spacing w:after="0" w:line="240" w:lineRule="auto"/>
              <w:jc w:val="center"/>
              <w:rPr>
                <w:rFonts w:ascii="Lato" w:hAnsi="Lato"/>
                <w:b/>
                <w:bCs/>
                <w:color w:val="000000"/>
                <w:lang w:eastAsia="en-GB"/>
              </w:rPr>
            </w:pPr>
            <w:r w:rsidRPr="00CE3117">
              <w:rPr>
                <w:rFonts w:ascii="Lato" w:hAnsi="Lato"/>
                <w:b/>
                <w:bCs/>
                <w:color w:val="000000"/>
                <w:lang w:eastAsia="en-GB"/>
              </w:rPr>
              <w:t>2</w:t>
            </w:r>
            <w:r w:rsidR="00CE3117" w:rsidRPr="00CE3117">
              <w:rPr>
                <w:rFonts w:ascii="Lato" w:hAnsi="Lato"/>
                <w:b/>
                <w:bCs/>
                <w:color w:val="000000"/>
                <w:lang w:eastAsia="en-GB"/>
              </w:rPr>
              <w:t>2</w:t>
            </w:r>
          </w:p>
        </w:tc>
        <w:tc>
          <w:tcPr>
            <w:tcW w:w="1843" w:type="dxa"/>
            <w:tcBorders>
              <w:top w:val="nil"/>
              <w:left w:val="nil"/>
              <w:bottom w:val="single" w:sz="4" w:space="0" w:color="auto"/>
              <w:right w:val="single" w:sz="4" w:space="0" w:color="auto"/>
            </w:tcBorders>
            <w:shd w:val="clear" w:color="auto" w:fill="auto"/>
            <w:vAlign w:val="center"/>
            <w:hideMark/>
          </w:tcPr>
          <w:p w14:paraId="7ED884E3" w14:textId="77777777" w:rsidR="009D1E3B" w:rsidRPr="00CE3117" w:rsidRDefault="009D1E3B" w:rsidP="009D1E3B">
            <w:pPr>
              <w:spacing w:after="0" w:line="240" w:lineRule="auto"/>
              <w:jc w:val="center"/>
              <w:rPr>
                <w:rFonts w:ascii="Lato" w:hAnsi="Lato"/>
                <w:b/>
                <w:bCs/>
                <w:color w:val="000000"/>
                <w:lang w:eastAsia="en-GB"/>
              </w:rPr>
            </w:pPr>
            <w:r w:rsidRPr="00CE3117">
              <w:rPr>
                <w:rFonts w:ascii="Lato" w:hAnsi="Lato"/>
                <w:b/>
                <w:bCs/>
                <w:color w:val="000000"/>
                <w:lang w:eastAsia="en-GB"/>
              </w:rPr>
              <w:t>16</w:t>
            </w:r>
          </w:p>
        </w:tc>
      </w:tr>
      <w:tr w:rsidR="009D1E3B" w:rsidRPr="009D1E3B" w14:paraId="4248FDEA" w14:textId="77777777" w:rsidTr="00166515">
        <w:trPr>
          <w:trHeight w:val="288"/>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0FC7551E" w14:textId="77777777" w:rsidR="009D1E3B" w:rsidRPr="00CE3117" w:rsidRDefault="009D1E3B" w:rsidP="009D1E3B">
            <w:pPr>
              <w:spacing w:after="0" w:line="240" w:lineRule="auto"/>
              <w:jc w:val="center"/>
              <w:rPr>
                <w:rFonts w:ascii="Lato" w:hAnsi="Lato"/>
                <w:b/>
                <w:bCs/>
                <w:color w:val="000000"/>
                <w:lang w:eastAsia="en-GB"/>
              </w:rPr>
            </w:pPr>
            <w:r w:rsidRPr="00CE3117">
              <w:rPr>
                <w:rFonts w:ascii="Lato" w:hAnsi="Lato"/>
                <w:b/>
                <w:bCs/>
                <w:color w:val="000000"/>
                <w:lang w:eastAsia="en-GB"/>
              </w:rPr>
              <w:t>Total</w:t>
            </w:r>
          </w:p>
        </w:tc>
        <w:tc>
          <w:tcPr>
            <w:tcW w:w="1843" w:type="dxa"/>
            <w:tcBorders>
              <w:top w:val="nil"/>
              <w:left w:val="nil"/>
              <w:bottom w:val="single" w:sz="4" w:space="0" w:color="auto"/>
              <w:right w:val="single" w:sz="4" w:space="0" w:color="auto"/>
            </w:tcBorders>
            <w:shd w:val="clear" w:color="000000" w:fill="D9D9D9"/>
            <w:noWrap/>
            <w:vAlign w:val="bottom"/>
            <w:hideMark/>
          </w:tcPr>
          <w:p w14:paraId="6D191D1D" w14:textId="2161CB15" w:rsidR="009D1E3B" w:rsidRPr="00CE3117" w:rsidRDefault="00CE3117" w:rsidP="00655709">
            <w:pPr>
              <w:spacing w:after="0" w:line="240" w:lineRule="auto"/>
              <w:jc w:val="center"/>
              <w:rPr>
                <w:rFonts w:ascii="Lato" w:hAnsi="Lato"/>
                <w:b/>
                <w:bCs/>
                <w:color w:val="000000"/>
                <w:lang w:eastAsia="en-GB"/>
              </w:rPr>
            </w:pPr>
            <w:r w:rsidRPr="00CE3117">
              <w:rPr>
                <w:rFonts w:ascii="Lato" w:hAnsi="Lato"/>
                <w:b/>
                <w:bCs/>
                <w:color w:val="000000"/>
                <w:lang w:eastAsia="en-GB"/>
              </w:rPr>
              <w:t>40</w:t>
            </w:r>
          </w:p>
        </w:tc>
        <w:tc>
          <w:tcPr>
            <w:tcW w:w="1843" w:type="dxa"/>
            <w:tcBorders>
              <w:top w:val="nil"/>
              <w:left w:val="nil"/>
              <w:bottom w:val="single" w:sz="4" w:space="0" w:color="auto"/>
              <w:right w:val="single" w:sz="4" w:space="0" w:color="auto"/>
            </w:tcBorders>
            <w:shd w:val="clear" w:color="000000" w:fill="D9D9D9"/>
            <w:noWrap/>
            <w:vAlign w:val="bottom"/>
            <w:hideMark/>
          </w:tcPr>
          <w:p w14:paraId="777ECABB" w14:textId="77777777" w:rsidR="009D1E3B" w:rsidRPr="00CE3117" w:rsidRDefault="009D1E3B" w:rsidP="00B94A3C">
            <w:pPr>
              <w:spacing w:after="0" w:line="240" w:lineRule="auto"/>
              <w:jc w:val="center"/>
              <w:rPr>
                <w:rFonts w:ascii="Lato" w:hAnsi="Lato"/>
                <w:b/>
                <w:bCs/>
                <w:color w:val="000000"/>
                <w:lang w:eastAsia="en-GB"/>
              </w:rPr>
            </w:pPr>
            <w:r w:rsidRPr="00CE3117">
              <w:rPr>
                <w:rFonts w:ascii="Lato" w:hAnsi="Lato"/>
                <w:b/>
                <w:bCs/>
                <w:color w:val="000000"/>
                <w:lang w:eastAsia="en-GB"/>
              </w:rPr>
              <w:t>21</w:t>
            </w:r>
          </w:p>
        </w:tc>
      </w:tr>
      <w:bookmarkEnd w:id="1"/>
    </w:tbl>
    <w:p w14:paraId="0E08C00C" w14:textId="77777777" w:rsidR="002E0366" w:rsidRDefault="002E0366" w:rsidP="00AC0196">
      <w:pPr>
        <w:jc w:val="both"/>
        <w:rPr>
          <w:rFonts w:ascii="Lato" w:hAnsi="Lato" w:cs="Calibri"/>
        </w:rPr>
      </w:pPr>
    </w:p>
    <w:p w14:paraId="22719AA6" w14:textId="6A19CCE9" w:rsidR="00086A95" w:rsidRDefault="00086A95" w:rsidP="00AC0196">
      <w:pPr>
        <w:jc w:val="both"/>
        <w:rPr>
          <w:rFonts w:ascii="Lato" w:hAnsi="Lato" w:cs="Calibri"/>
        </w:rPr>
      </w:pPr>
      <w:r>
        <w:rPr>
          <w:rFonts w:ascii="Lato" w:hAnsi="Lato" w:cs="Calibri"/>
        </w:rPr>
        <w:t>The Dina</w:t>
      </w:r>
      <w:r w:rsidR="00B94A3C">
        <w:rPr>
          <w:rFonts w:ascii="Lato" w:hAnsi="Lato" w:cs="Calibri"/>
        </w:rPr>
        <w:t>s</w:t>
      </w:r>
      <w:r>
        <w:rPr>
          <w:rFonts w:ascii="Lato" w:hAnsi="Lato" w:cs="Calibri"/>
        </w:rPr>
        <w:t xml:space="preserve"> Lane scheme offers </w:t>
      </w:r>
      <w:r w:rsidR="00B94A3C">
        <w:rPr>
          <w:rFonts w:ascii="Lato" w:hAnsi="Lato" w:cs="Calibri"/>
        </w:rPr>
        <w:t xml:space="preserve">four </w:t>
      </w:r>
      <w:r>
        <w:rPr>
          <w:rFonts w:ascii="Lato" w:hAnsi="Lato" w:cs="Calibri"/>
        </w:rPr>
        <w:t xml:space="preserve">fully wheelchair accessible units (M4.3). </w:t>
      </w:r>
    </w:p>
    <w:p w14:paraId="7550C27A" w14:textId="71EC0A7C" w:rsidR="00AC0196" w:rsidRDefault="009D1E3B" w:rsidP="00086A95">
      <w:pPr>
        <w:jc w:val="both"/>
        <w:rPr>
          <w:rFonts w:ascii="Lato" w:hAnsi="Lato" w:cs="Calibri"/>
        </w:rPr>
      </w:pPr>
      <w:r w:rsidRPr="002E0366">
        <w:rPr>
          <w:rFonts w:ascii="Lato" w:hAnsi="Lato" w:cs="Calibri"/>
        </w:rPr>
        <w:t xml:space="preserve">To promote </w:t>
      </w:r>
      <w:r>
        <w:rPr>
          <w:rFonts w:ascii="Lato" w:hAnsi="Lato" w:cs="Calibri"/>
        </w:rPr>
        <w:t>the allocation of accessible housing to those most in need</w:t>
      </w:r>
      <w:r w:rsidRPr="002E0366">
        <w:rPr>
          <w:rFonts w:ascii="Lato" w:hAnsi="Lato" w:cs="Calibri"/>
        </w:rPr>
        <w:t xml:space="preserve"> within the borough, Prima proposes that </w:t>
      </w:r>
      <w:r w:rsidR="00B94A3C">
        <w:rPr>
          <w:rFonts w:ascii="Lato" w:hAnsi="Lato" w:cs="Calibri"/>
        </w:rPr>
        <w:t xml:space="preserve">four </w:t>
      </w:r>
      <w:r w:rsidRPr="002E0366">
        <w:rPr>
          <w:rFonts w:ascii="Lato" w:hAnsi="Lato" w:cs="Calibri"/>
        </w:rPr>
        <w:t xml:space="preserve"> (</w:t>
      </w:r>
      <w:r>
        <w:rPr>
          <w:rFonts w:ascii="Lato" w:hAnsi="Lato" w:cs="Calibri"/>
        </w:rPr>
        <w:t>36</w:t>
      </w:r>
      <w:r w:rsidRPr="002E0366">
        <w:rPr>
          <w:rFonts w:ascii="Lato" w:hAnsi="Lato" w:cs="Calibri"/>
        </w:rPr>
        <w:t>%)</w:t>
      </w:r>
      <w:r>
        <w:rPr>
          <w:rFonts w:ascii="Lato" w:hAnsi="Lato" w:cs="Calibri"/>
        </w:rPr>
        <w:t xml:space="preserve"> of</w:t>
      </w:r>
      <w:r w:rsidRPr="002E0366">
        <w:rPr>
          <w:rFonts w:ascii="Lato" w:hAnsi="Lato" w:cs="Calibri"/>
        </w:rPr>
        <w:t xml:space="preserve"> properties will be prioritised for applicants who </w:t>
      </w:r>
      <w:r w:rsidR="00086A95">
        <w:rPr>
          <w:rFonts w:ascii="Lato" w:hAnsi="Lato" w:cs="Calibri"/>
        </w:rPr>
        <w:t xml:space="preserve">are </w:t>
      </w:r>
      <w:r>
        <w:rPr>
          <w:rFonts w:ascii="Lato" w:hAnsi="Lato" w:cs="Calibri"/>
        </w:rPr>
        <w:t xml:space="preserve">classified as having a </w:t>
      </w:r>
      <w:r w:rsidR="00086A95">
        <w:rPr>
          <w:rFonts w:ascii="Lato" w:hAnsi="Lato" w:cs="Calibri"/>
        </w:rPr>
        <w:t xml:space="preserve">verified need for adapted housing. </w:t>
      </w:r>
    </w:p>
    <w:p w14:paraId="68F46BEB" w14:textId="39CF852E" w:rsidR="000F2C07" w:rsidRDefault="000F2C07" w:rsidP="00086A95">
      <w:pPr>
        <w:jc w:val="both"/>
        <w:rPr>
          <w:rFonts w:ascii="Lato" w:hAnsi="Lato" w:cs="Calibri"/>
        </w:rPr>
      </w:pPr>
      <w:r>
        <w:rPr>
          <w:rFonts w:ascii="Lato" w:hAnsi="Lato" w:cs="Calibri"/>
        </w:rPr>
        <w:t xml:space="preserve">A full breakdown of the allocation of properties is as follows: </w:t>
      </w:r>
    </w:p>
    <w:tbl>
      <w:tblPr>
        <w:tblStyle w:val="TableGrid"/>
        <w:tblW w:w="0" w:type="auto"/>
        <w:tblInd w:w="-5" w:type="dxa"/>
        <w:tblLook w:val="04A0" w:firstRow="1" w:lastRow="0" w:firstColumn="1" w:lastColumn="0" w:noHBand="0" w:noVBand="1"/>
      </w:tblPr>
      <w:tblGrid>
        <w:gridCol w:w="1519"/>
        <w:gridCol w:w="2734"/>
        <w:gridCol w:w="2977"/>
        <w:gridCol w:w="960"/>
        <w:gridCol w:w="831"/>
      </w:tblGrid>
      <w:tr w:rsidR="000F2C07" w14:paraId="1313AED6" w14:textId="77777777" w:rsidTr="00166515">
        <w:tc>
          <w:tcPr>
            <w:tcW w:w="1519" w:type="dxa"/>
            <w:vMerge w:val="restart"/>
            <w:shd w:val="clear" w:color="auto" w:fill="D9D9D9" w:themeFill="background1" w:themeFillShade="D9"/>
          </w:tcPr>
          <w:p w14:paraId="7F3A8FDD" w14:textId="77777777" w:rsidR="000F2C07" w:rsidRPr="00166515" w:rsidRDefault="000F2C07">
            <w:pPr>
              <w:pStyle w:val="ListParagraph"/>
              <w:ind w:left="0"/>
              <w:jc w:val="both"/>
              <w:rPr>
                <w:rFonts w:ascii="Lato" w:hAnsi="Lato"/>
                <w:b/>
                <w:bCs/>
                <w:sz w:val="22"/>
                <w:szCs w:val="22"/>
              </w:rPr>
            </w:pPr>
            <w:r w:rsidRPr="00166515">
              <w:rPr>
                <w:rFonts w:ascii="Lato" w:hAnsi="Lato"/>
                <w:b/>
                <w:bCs/>
                <w:sz w:val="22"/>
                <w:szCs w:val="22"/>
              </w:rPr>
              <w:t xml:space="preserve">Knowsley Housing </w:t>
            </w:r>
          </w:p>
          <w:p w14:paraId="04AE0FD8" w14:textId="77777777" w:rsidR="000F2C07" w:rsidRPr="00166515" w:rsidRDefault="000F2C07">
            <w:pPr>
              <w:pStyle w:val="ListParagraph"/>
              <w:ind w:left="0"/>
              <w:jc w:val="both"/>
              <w:rPr>
                <w:rFonts w:ascii="Lato" w:hAnsi="Lato"/>
                <w:sz w:val="22"/>
                <w:szCs w:val="22"/>
              </w:rPr>
            </w:pPr>
            <w:r w:rsidRPr="00166515">
              <w:rPr>
                <w:rFonts w:ascii="Lato" w:hAnsi="Lato"/>
                <w:b/>
                <w:bCs/>
                <w:sz w:val="22"/>
                <w:szCs w:val="22"/>
              </w:rPr>
              <w:t>Band</w:t>
            </w:r>
            <w:r w:rsidRPr="00166515">
              <w:rPr>
                <w:rFonts w:ascii="Lato" w:hAnsi="Lato"/>
                <w:sz w:val="22"/>
                <w:szCs w:val="22"/>
              </w:rPr>
              <w:t xml:space="preserve"> </w:t>
            </w:r>
          </w:p>
        </w:tc>
        <w:tc>
          <w:tcPr>
            <w:tcW w:w="5711" w:type="dxa"/>
            <w:gridSpan w:val="2"/>
            <w:shd w:val="clear" w:color="auto" w:fill="D9D9D9" w:themeFill="background1" w:themeFillShade="D9"/>
          </w:tcPr>
          <w:p w14:paraId="1C4E1795" w14:textId="2CA2FC7B" w:rsidR="000F2C07" w:rsidRPr="00166515" w:rsidRDefault="000F2C07">
            <w:pPr>
              <w:pStyle w:val="ListParagraph"/>
              <w:ind w:left="0"/>
              <w:jc w:val="center"/>
              <w:rPr>
                <w:rFonts w:ascii="Lato" w:hAnsi="Lato"/>
                <w:b/>
                <w:bCs/>
                <w:sz w:val="22"/>
                <w:szCs w:val="22"/>
              </w:rPr>
            </w:pPr>
            <w:r w:rsidRPr="00166515">
              <w:rPr>
                <w:rFonts w:ascii="Lato" w:hAnsi="Lato"/>
                <w:b/>
                <w:bCs/>
                <w:sz w:val="22"/>
                <w:szCs w:val="22"/>
              </w:rPr>
              <w:t>Property size</w:t>
            </w:r>
          </w:p>
        </w:tc>
        <w:tc>
          <w:tcPr>
            <w:tcW w:w="960" w:type="dxa"/>
            <w:vMerge w:val="restart"/>
            <w:shd w:val="clear" w:color="auto" w:fill="D9D9D9" w:themeFill="background1" w:themeFillShade="D9"/>
          </w:tcPr>
          <w:p w14:paraId="08A2574C" w14:textId="3DC3D1A2" w:rsidR="000F2C07" w:rsidRPr="00166515" w:rsidRDefault="000F2C07">
            <w:pPr>
              <w:pStyle w:val="ListParagraph"/>
              <w:ind w:left="0"/>
              <w:jc w:val="center"/>
              <w:rPr>
                <w:rFonts w:ascii="Lato" w:hAnsi="Lato"/>
                <w:b/>
                <w:bCs/>
                <w:sz w:val="22"/>
                <w:szCs w:val="22"/>
              </w:rPr>
            </w:pPr>
            <w:r w:rsidRPr="00166515">
              <w:rPr>
                <w:rFonts w:ascii="Lato" w:hAnsi="Lato"/>
                <w:b/>
                <w:bCs/>
                <w:sz w:val="22"/>
                <w:szCs w:val="22"/>
              </w:rPr>
              <w:t>Total</w:t>
            </w:r>
          </w:p>
        </w:tc>
        <w:tc>
          <w:tcPr>
            <w:tcW w:w="831" w:type="dxa"/>
            <w:vMerge w:val="restart"/>
            <w:shd w:val="clear" w:color="auto" w:fill="D9D9D9" w:themeFill="background1" w:themeFillShade="D9"/>
          </w:tcPr>
          <w:p w14:paraId="56FBC078" w14:textId="77777777" w:rsidR="000F2C07" w:rsidRPr="00166515" w:rsidRDefault="000F2C07">
            <w:pPr>
              <w:pStyle w:val="ListParagraph"/>
              <w:ind w:left="0"/>
              <w:jc w:val="center"/>
              <w:rPr>
                <w:rFonts w:ascii="Lato" w:hAnsi="Lato"/>
                <w:b/>
                <w:bCs/>
                <w:sz w:val="22"/>
                <w:szCs w:val="22"/>
              </w:rPr>
            </w:pPr>
            <w:r w:rsidRPr="00166515">
              <w:rPr>
                <w:rFonts w:ascii="Lato" w:hAnsi="Lato"/>
                <w:b/>
                <w:bCs/>
                <w:sz w:val="22"/>
                <w:szCs w:val="22"/>
              </w:rPr>
              <w:t>%</w:t>
            </w:r>
          </w:p>
        </w:tc>
      </w:tr>
      <w:tr w:rsidR="000F2C07" w14:paraId="108C62A3" w14:textId="77777777" w:rsidTr="00166515">
        <w:tc>
          <w:tcPr>
            <w:tcW w:w="1519" w:type="dxa"/>
            <w:vMerge/>
          </w:tcPr>
          <w:p w14:paraId="75270927" w14:textId="77777777" w:rsidR="000F2C07" w:rsidRPr="00166515" w:rsidRDefault="000F2C07">
            <w:pPr>
              <w:pStyle w:val="ListParagraph"/>
              <w:ind w:left="0"/>
              <w:jc w:val="both"/>
              <w:rPr>
                <w:rFonts w:ascii="Lato" w:hAnsi="Lato"/>
                <w:sz w:val="22"/>
                <w:szCs w:val="22"/>
              </w:rPr>
            </w:pPr>
          </w:p>
        </w:tc>
        <w:tc>
          <w:tcPr>
            <w:tcW w:w="2734" w:type="dxa"/>
            <w:shd w:val="clear" w:color="auto" w:fill="F2F2F2" w:themeFill="background1" w:themeFillShade="F2"/>
          </w:tcPr>
          <w:p w14:paraId="75970CF5" w14:textId="53BDEB06" w:rsidR="000F2C07" w:rsidRPr="00166515" w:rsidRDefault="000F2C07">
            <w:pPr>
              <w:pStyle w:val="ListParagraph"/>
              <w:ind w:left="0"/>
              <w:jc w:val="center"/>
              <w:rPr>
                <w:rFonts w:ascii="Lato" w:hAnsi="Lato"/>
                <w:sz w:val="22"/>
                <w:szCs w:val="22"/>
              </w:rPr>
            </w:pPr>
            <w:r w:rsidRPr="00166515">
              <w:rPr>
                <w:rFonts w:ascii="Lato" w:hAnsi="Lato"/>
                <w:sz w:val="22"/>
                <w:szCs w:val="22"/>
              </w:rPr>
              <w:t>One bed apartments</w:t>
            </w:r>
          </w:p>
        </w:tc>
        <w:tc>
          <w:tcPr>
            <w:tcW w:w="2977" w:type="dxa"/>
            <w:shd w:val="clear" w:color="auto" w:fill="F2F2F2" w:themeFill="background1" w:themeFillShade="F2"/>
          </w:tcPr>
          <w:p w14:paraId="3796936A" w14:textId="79F3FB99" w:rsidR="000F2C07" w:rsidRPr="00166515" w:rsidRDefault="000F2C07" w:rsidP="00166515">
            <w:pPr>
              <w:pStyle w:val="ListParagraph"/>
              <w:ind w:left="0"/>
              <w:jc w:val="center"/>
              <w:rPr>
                <w:rFonts w:ascii="Lato" w:hAnsi="Lato"/>
                <w:sz w:val="22"/>
                <w:szCs w:val="22"/>
              </w:rPr>
            </w:pPr>
            <w:r w:rsidRPr="00166515">
              <w:rPr>
                <w:rFonts w:ascii="Lato" w:hAnsi="Lato"/>
                <w:sz w:val="22"/>
                <w:szCs w:val="22"/>
              </w:rPr>
              <w:t>Two bed apartments</w:t>
            </w:r>
          </w:p>
        </w:tc>
        <w:tc>
          <w:tcPr>
            <w:tcW w:w="960" w:type="dxa"/>
            <w:vMerge/>
          </w:tcPr>
          <w:p w14:paraId="3ED91382" w14:textId="7AEB7FE6" w:rsidR="000F2C07" w:rsidRPr="003739DF" w:rsidRDefault="000F2C07">
            <w:pPr>
              <w:pStyle w:val="ListParagraph"/>
              <w:ind w:left="0"/>
              <w:jc w:val="both"/>
              <w:rPr>
                <w:rFonts w:ascii="Lato" w:hAnsi="Lato"/>
                <w:sz w:val="22"/>
                <w:szCs w:val="22"/>
              </w:rPr>
            </w:pPr>
          </w:p>
        </w:tc>
        <w:tc>
          <w:tcPr>
            <w:tcW w:w="831" w:type="dxa"/>
            <w:vMerge/>
          </w:tcPr>
          <w:p w14:paraId="28CE297C" w14:textId="77777777" w:rsidR="000F2C07" w:rsidRPr="003739DF" w:rsidRDefault="000F2C07">
            <w:pPr>
              <w:pStyle w:val="ListParagraph"/>
              <w:ind w:left="0"/>
              <w:jc w:val="both"/>
              <w:rPr>
                <w:rFonts w:ascii="Lato" w:hAnsi="Lato"/>
                <w:sz w:val="22"/>
                <w:szCs w:val="22"/>
              </w:rPr>
            </w:pPr>
          </w:p>
        </w:tc>
      </w:tr>
      <w:tr w:rsidR="000F2C07" w14:paraId="3D7F8F9A" w14:textId="77777777" w:rsidTr="00166515">
        <w:tc>
          <w:tcPr>
            <w:tcW w:w="1519" w:type="dxa"/>
          </w:tcPr>
          <w:p w14:paraId="7392AE56" w14:textId="77777777" w:rsidR="000F2C07" w:rsidRPr="00166515" w:rsidRDefault="000F2C07">
            <w:pPr>
              <w:pStyle w:val="ListParagraph"/>
              <w:ind w:left="0"/>
              <w:jc w:val="both"/>
              <w:rPr>
                <w:rFonts w:ascii="Lato" w:hAnsi="Lato"/>
                <w:b/>
                <w:bCs/>
                <w:sz w:val="22"/>
                <w:szCs w:val="22"/>
              </w:rPr>
            </w:pPr>
            <w:r w:rsidRPr="00166515">
              <w:rPr>
                <w:rFonts w:ascii="Lato" w:hAnsi="Lato"/>
                <w:b/>
                <w:bCs/>
                <w:sz w:val="22"/>
                <w:szCs w:val="22"/>
              </w:rPr>
              <w:t xml:space="preserve">Band A </w:t>
            </w:r>
          </w:p>
        </w:tc>
        <w:tc>
          <w:tcPr>
            <w:tcW w:w="2734" w:type="dxa"/>
          </w:tcPr>
          <w:p w14:paraId="5D36FDA5" w14:textId="4AF5A7A0" w:rsidR="000F2C07" w:rsidRPr="00166515" w:rsidRDefault="005B3F22" w:rsidP="00CE3117">
            <w:pPr>
              <w:pStyle w:val="ListParagraph"/>
              <w:ind w:left="0"/>
              <w:jc w:val="center"/>
              <w:rPr>
                <w:rFonts w:ascii="Lato" w:hAnsi="Lato"/>
                <w:sz w:val="22"/>
                <w:szCs w:val="22"/>
              </w:rPr>
            </w:pPr>
            <w:r w:rsidRPr="00166515">
              <w:rPr>
                <w:rFonts w:ascii="Lato" w:hAnsi="Lato"/>
                <w:sz w:val="22"/>
                <w:szCs w:val="22"/>
              </w:rPr>
              <w:t>3</w:t>
            </w:r>
            <w:r w:rsidR="00301592" w:rsidRPr="00166515">
              <w:rPr>
                <w:rFonts w:ascii="Lato" w:hAnsi="Lato"/>
                <w:sz w:val="22"/>
                <w:szCs w:val="22"/>
              </w:rPr>
              <w:t xml:space="preserve"> (1 x </w:t>
            </w:r>
            <w:r w:rsidR="00DE3D15" w:rsidRPr="00166515">
              <w:rPr>
                <w:rFonts w:ascii="Lato" w:hAnsi="Lato"/>
                <w:sz w:val="22"/>
                <w:szCs w:val="22"/>
              </w:rPr>
              <w:t>verified adaptation</w:t>
            </w:r>
            <w:r w:rsidR="002E40B3" w:rsidRPr="00166515">
              <w:rPr>
                <w:rFonts w:ascii="Lato" w:hAnsi="Lato"/>
                <w:sz w:val="22"/>
                <w:szCs w:val="22"/>
              </w:rPr>
              <w:t xml:space="preserve">, </w:t>
            </w:r>
            <w:r w:rsidRPr="00166515">
              <w:rPr>
                <w:rFonts w:ascii="Lato" w:hAnsi="Lato"/>
                <w:sz w:val="22"/>
                <w:szCs w:val="22"/>
              </w:rPr>
              <w:t>2</w:t>
            </w:r>
            <w:r w:rsidR="0032698B" w:rsidRPr="00166515">
              <w:rPr>
                <w:rFonts w:ascii="Lato" w:hAnsi="Lato"/>
                <w:sz w:val="22"/>
                <w:szCs w:val="22"/>
              </w:rPr>
              <w:t xml:space="preserve"> x care leaver</w:t>
            </w:r>
            <w:r w:rsidR="005134C8" w:rsidRPr="00166515">
              <w:rPr>
                <w:rFonts w:ascii="Lato" w:hAnsi="Lato"/>
                <w:sz w:val="22"/>
                <w:szCs w:val="22"/>
              </w:rPr>
              <w:t>)</w:t>
            </w:r>
          </w:p>
        </w:tc>
        <w:tc>
          <w:tcPr>
            <w:tcW w:w="2977" w:type="dxa"/>
          </w:tcPr>
          <w:p w14:paraId="35219FC8" w14:textId="38BAD6B0" w:rsidR="000F2C07" w:rsidRPr="00166515" w:rsidRDefault="0045325F" w:rsidP="00CE3117">
            <w:pPr>
              <w:jc w:val="center"/>
              <w:rPr>
                <w:rFonts w:ascii="Lato" w:hAnsi="Lato"/>
              </w:rPr>
            </w:pPr>
            <w:r w:rsidRPr="00166515">
              <w:rPr>
                <w:rFonts w:ascii="Lato" w:hAnsi="Lato"/>
              </w:rPr>
              <w:t>2</w:t>
            </w:r>
            <w:r w:rsidR="002E40B3" w:rsidRPr="00166515">
              <w:rPr>
                <w:rFonts w:ascii="Lato" w:hAnsi="Lato"/>
              </w:rPr>
              <w:t xml:space="preserve"> (1 x </w:t>
            </w:r>
            <w:r w:rsidR="00DE3D15" w:rsidRPr="00166515">
              <w:rPr>
                <w:rFonts w:ascii="Lato" w:hAnsi="Lato"/>
              </w:rPr>
              <w:t>verified adaptation</w:t>
            </w:r>
            <w:r w:rsidR="002E40B3" w:rsidRPr="00166515">
              <w:rPr>
                <w:rFonts w:ascii="Lato" w:hAnsi="Lato"/>
              </w:rPr>
              <w:t xml:space="preserve">, </w:t>
            </w:r>
            <w:r w:rsidR="005134C8" w:rsidRPr="00166515">
              <w:rPr>
                <w:rFonts w:ascii="Lato" w:hAnsi="Lato"/>
              </w:rPr>
              <w:t>1 x rightsizing)</w:t>
            </w:r>
          </w:p>
        </w:tc>
        <w:tc>
          <w:tcPr>
            <w:tcW w:w="960" w:type="dxa"/>
          </w:tcPr>
          <w:p w14:paraId="21AD8C11" w14:textId="6E2C07B4" w:rsidR="000F2C07" w:rsidRPr="00166515" w:rsidRDefault="00773E1B">
            <w:pPr>
              <w:jc w:val="center"/>
              <w:rPr>
                <w:rFonts w:ascii="Lato" w:hAnsi="Lato"/>
                <w:b/>
                <w:bCs/>
              </w:rPr>
            </w:pPr>
            <w:r w:rsidRPr="00166515">
              <w:rPr>
                <w:rFonts w:ascii="Lato" w:hAnsi="Lato"/>
                <w:b/>
                <w:bCs/>
              </w:rPr>
              <w:t>5</w:t>
            </w:r>
          </w:p>
        </w:tc>
        <w:tc>
          <w:tcPr>
            <w:tcW w:w="831" w:type="dxa"/>
          </w:tcPr>
          <w:p w14:paraId="19E33BF3" w14:textId="2A30668C" w:rsidR="000F2C07" w:rsidRPr="00166515" w:rsidRDefault="00C944A3">
            <w:pPr>
              <w:jc w:val="center"/>
              <w:rPr>
                <w:rFonts w:ascii="Lato" w:hAnsi="Lato"/>
                <w:b/>
                <w:bCs/>
              </w:rPr>
            </w:pPr>
            <w:r w:rsidRPr="00166515">
              <w:rPr>
                <w:rFonts w:ascii="Lato" w:hAnsi="Lato"/>
                <w:b/>
                <w:bCs/>
              </w:rPr>
              <w:t>45</w:t>
            </w:r>
            <w:r w:rsidR="000F2C07" w:rsidRPr="00166515">
              <w:rPr>
                <w:rFonts w:ascii="Lato" w:hAnsi="Lato"/>
                <w:b/>
                <w:bCs/>
              </w:rPr>
              <w:t>%</w:t>
            </w:r>
          </w:p>
        </w:tc>
      </w:tr>
      <w:tr w:rsidR="000F2C07" w14:paraId="6330ADDD" w14:textId="77777777" w:rsidTr="00166515">
        <w:tc>
          <w:tcPr>
            <w:tcW w:w="1519" w:type="dxa"/>
            <w:shd w:val="clear" w:color="auto" w:fill="D9D9D9" w:themeFill="background1" w:themeFillShade="D9"/>
          </w:tcPr>
          <w:p w14:paraId="61B4D4DE" w14:textId="77777777" w:rsidR="000F2C07" w:rsidRPr="00166515" w:rsidRDefault="000F2C07">
            <w:pPr>
              <w:pStyle w:val="ListParagraph"/>
              <w:ind w:left="0"/>
              <w:jc w:val="both"/>
              <w:rPr>
                <w:rFonts w:ascii="Lato" w:hAnsi="Lato"/>
                <w:sz w:val="22"/>
                <w:szCs w:val="22"/>
              </w:rPr>
            </w:pPr>
          </w:p>
        </w:tc>
        <w:tc>
          <w:tcPr>
            <w:tcW w:w="2734" w:type="dxa"/>
            <w:shd w:val="clear" w:color="auto" w:fill="D9D9D9" w:themeFill="background1" w:themeFillShade="D9"/>
          </w:tcPr>
          <w:p w14:paraId="71574540" w14:textId="77777777" w:rsidR="000F2C07" w:rsidRPr="00166515" w:rsidRDefault="000F2C07" w:rsidP="00CE3117">
            <w:pPr>
              <w:pStyle w:val="ListParagraph"/>
              <w:ind w:left="0"/>
              <w:jc w:val="center"/>
              <w:rPr>
                <w:rFonts w:ascii="Lato" w:hAnsi="Lato"/>
                <w:sz w:val="22"/>
                <w:szCs w:val="22"/>
              </w:rPr>
            </w:pPr>
          </w:p>
        </w:tc>
        <w:tc>
          <w:tcPr>
            <w:tcW w:w="2977" w:type="dxa"/>
            <w:shd w:val="clear" w:color="auto" w:fill="D9D9D9" w:themeFill="background1" w:themeFillShade="D9"/>
          </w:tcPr>
          <w:p w14:paraId="7D86931E" w14:textId="77777777" w:rsidR="000F2C07" w:rsidRPr="00166515" w:rsidRDefault="000F2C07" w:rsidP="00CE3117">
            <w:pPr>
              <w:pStyle w:val="ListParagraph"/>
              <w:ind w:left="0"/>
              <w:jc w:val="center"/>
              <w:rPr>
                <w:rFonts w:ascii="Lato" w:hAnsi="Lato"/>
                <w:sz w:val="22"/>
                <w:szCs w:val="22"/>
              </w:rPr>
            </w:pPr>
          </w:p>
        </w:tc>
        <w:tc>
          <w:tcPr>
            <w:tcW w:w="960" w:type="dxa"/>
            <w:shd w:val="clear" w:color="auto" w:fill="D9D9D9" w:themeFill="background1" w:themeFillShade="D9"/>
          </w:tcPr>
          <w:p w14:paraId="3C08AB13" w14:textId="65FB8768" w:rsidR="000F2C07" w:rsidRPr="00166515" w:rsidRDefault="000F2C07">
            <w:pPr>
              <w:pStyle w:val="ListParagraph"/>
              <w:ind w:left="0"/>
              <w:jc w:val="center"/>
              <w:rPr>
                <w:rFonts w:ascii="Lato" w:hAnsi="Lato"/>
                <w:sz w:val="22"/>
                <w:szCs w:val="22"/>
              </w:rPr>
            </w:pPr>
          </w:p>
        </w:tc>
        <w:tc>
          <w:tcPr>
            <w:tcW w:w="831" w:type="dxa"/>
            <w:shd w:val="clear" w:color="auto" w:fill="D9D9D9" w:themeFill="background1" w:themeFillShade="D9"/>
          </w:tcPr>
          <w:p w14:paraId="3397D770" w14:textId="77777777" w:rsidR="000F2C07" w:rsidRPr="00166515" w:rsidRDefault="000F2C07">
            <w:pPr>
              <w:pStyle w:val="ListParagraph"/>
              <w:ind w:left="0"/>
              <w:jc w:val="center"/>
              <w:rPr>
                <w:rFonts w:ascii="Lato" w:hAnsi="Lato"/>
                <w:sz w:val="22"/>
                <w:szCs w:val="22"/>
              </w:rPr>
            </w:pPr>
          </w:p>
        </w:tc>
      </w:tr>
      <w:tr w:rsidR="000F2C07" w14:paraId="79EFEF89" w14:textId="77777777" w:rsidTr="00166515">
        <w:tc>
          <w:tcPr>
            <w:tcW w:w="1519" w:type="dxa"/>
          </w:tcPr>
          <w:p w14:paraId="5D8AF0BE" w14:textId="77777777" w:rsidR="000F2C07" w:rsidRPr="00166515" w:rsidRDefault="000F2C07">
            <w:pPr>
              <w:pStyle w:val="ListParagraph"/>
              <w:ind w:left="0"/>
              <w:jc w:val="both"/>
              <w:rPr>
                <w:rFonts w:ascii="Lato" w:hAnsi="Lato"/>
                <w:b/>
                <w:bCs/>
                <w:sz w:val="22"/>
                <w:szCs w:val="22"/>
              </w:rPr>
            </w:pPr>
            <w:r w:rsidRPr="00166515">
              <w:rPr>
                <w:rFonts w:ascii="Lato" w:hAnsi="Lato"/>
                <w:b/>
                <w:bCs/>
                <w:sz w:val="22"/>
                <w:szCs w:val="22"/>
              </w:rPr>
              <w:t xml:space="preserve">Band B </w:t>
            </w:r>
          </w:p>
        </w:tc>
        <w:tc>
          <w:tcPr>
            <w:tcW w:w="2734" w:type="dxa"/>
          </w:tcPr>
          <w:p w14:paraId="638E30E1" w14:textId="3AA06437" w:rsidR="000F2C07" w:rsidRPr="00166515" w:rsidRDefault="005B3F22" w:rsidP="00CE3117">
            <w:pPr>
              <w:pStyle w:val="ListParagraph"/>
              <w:ind w:left="0"/>
              <w:jc w:val="center"/>
              <w:rPr>
                <w:rFonts w:ascii="Lato" w:hAnsi="Lato"/>
                <w:sz w:val="22"/>
                <w:szCs w:val="22"/>
              </w:rPr>
            </w:pPr>
            <w:r w:rsidRPr="00166515">
              <w:rPr>
                <w:rFonts w:ascii="Lato" w:hAnsi="Lato"/>
                <w:sz w:val="22"/>
                <w:szCs w:val="22"/>
              </w:rPr>
              <w:t>2</w:t>
            </w:r>
            <w:r w:rsidR="002E40B3" w:rsidRPr="00166515">
              <w:rPr>
                <w:rFonts w:ascii="Lato" w:hAnsi="Lato"/>
                <w:sz w:val="22"/>
                <w:szCs w:val="22"/>
              </w:rPr>
              <w:t xml:space="preserve"> (</w:t>
            </w:r>
            <w:r w:rsidR="00DE3D15" w:rsidRPr="00166515">
              <w:rPr>
                <w:rFonts w:ascii="Lato" w:hAnsi="Lato"/>
                <w:sz w:val="22"/>
                <w:szCs w:val="22"/>
              </w:rPr>
              <w:t>1 x verified adaptation</w:t>
            </w:r>
            <w:r w:rsidR="002E40B3" w:rsidRPr="00166515">
              <w:rPr>
                <w:rFonts w:ascii="Lato" w:hAnsi="Lato"/>
                <w:sz w:val="22"/>
                <w:szCs w:val="22"/>
              </w:rPr>
              <w:t>,</w:t>
            </w:r>
            <w:r w:rsidR="005134C8" w:rsidRPr="00166515">
              <w:rPr>
                <w:rFonts w:ascii="Lato" w:hAnsi="Lato"/>
                <w:sz w:val="22"/>
                <w:szCs w:val="22"/>
              </w:rPr>
              <w:t xml:space="preserve"> </w:t>
            </w:r>
            <w:r w:rsidR="00B313AF" w:rsidRPr="00166515">
              <w:rPr>
                <w:rFonts w:ascii="Lato" w:hAnsi="Lato"/>
                <w:sz w:val="22"/>
                <w:szCs w:val="22"/>
              </w:rPr>
              <w:t>1 x employed)</w:t>
            </w:r>
          </w:p>
          <w:p w14:paraId="364293B9" w14:textId="331D8D31" w:rsidR="000F2C07" w:rsidRPr="00166515" w:rsidRDefault="000F2C07" w:rsidP="00CE3117">
            <w:pPr>
              <w:pStyle w:val="ListParagraph"/>
              <w:ind w:left="0"/>
              <w:jc w:val="center"/>
              <w:rPr>
                <w:rFonts w:ascii="Lato" w:hAnsi="Lato"/>
                <w:sz w:val="22"/>
                <w:szCs w:val="22"/>
              </w:rPr>
            </w:pPr>
          </w:p>
        </w:tc>
        <w:tc>
          <w:tcPr>
            <w:tcW w:w="2977" w:type="dxa"/>
          </w:tcPr>
          <w:p w14:paraId="2084790A" w14:textId="35B5FDA0" w:rsidR="000F2C07" w:rsidRPr="00166515" w:rsidRDefault="0045325F" w:rsidP="00CE3117">
            <w:pPr>
              <w:pStyle w:val="ListParagraph"/>
              <w:ind w:left="0"/>
              <w:jc w:val="center"/>
              <w:rPr>
                <w:rFonts w:ascii="Lato" w:hAnsi="Lato"/>
                <w:sz w:val="22"/>
                <w:szCs w:val="22"/>
              </w:rPr>
            </w:pPr>
            <w:r w:rsidRPr="00166515">
              <w:rPr>
                <w:rFonts w:ascii="Lato" w:hAnsi="Lato"/>
                <w:sz w:val="22"/>
                <w:szCs w:val="22"/>
              </w:rPr>
              <w:t>4</w:t>
            </w:r>
            <w:r w:rsidR="002E40B3" w:rsidRPr="00166515">
              <w:rPr>
                <w:rFonts w:ascii="Lato" w:hAnsi="Lato"/>
                <w:sz w:val="22"/>
                <w:szCs w:val="22"/>
              </w:rPr>
              <w:t xml:space="preserve"> (</w:t>
            </w:r>
            <w:r w:rsidR="00DE3D15" w:rsidRPr="00166515">
              <w:rPr>
                <w:rFonts w:ascii="Lato" w:hAnsi="Lato"/>
                <w:sz w:val="22"/>
                <w:szCs w:val="22"/>
              </w:rPr>
              <w:t>1 x verified adaptation</w:t>
            </w:r>
            <w:r w:rsidR="002E40B3" w:rsidRPr="00166515">
              <w:rPr>
                <w:rFonts w:ascii="Lato" w:hAnsi="Lato"/>
                <w:sz w:val="22"/>
                <w:szCs w:val="22"/>
              </w:rPr>
              <w:t xml:space="preserve">, </w:t>
            </w:r>
            <w:r w:rsidR="005134C8" w:rsidRPr="00166515">
              <w:rPr>
                <w:rFonts w:ascii="Lato" w:hAnsi="Lato"/>
                <w:sz w:val="22"/>
                <w:szCs w:val="22"/>
              </w:rPr>
              <w:t xml:space="preserve">1 x right sizing, </w:t>
            </w:r>
            <w:r w:rsidR="00B313AF" w:rsidRPr="00166515">
              <w:rPr>
                <w:rFonts w:ascii="Lato" w:hAnsi="Lato"/>
                <w:sz w:val="22"/>
                <w:szCs w:val="22"/>
              </w:rPr>
              <w:t>2 x employed)</w:t>
            </w:r>
          </w:p>
        </w:tc>
        <w:tc>
          <w:tcPr>
            <w:tcW w:w="960" w:type="dxa"/>
          </w:tcPr>
          <w:p w14:paraId="3329ECDC" w14:textId="3E1ADE18" w:rsidR="000F2C07" w:rsidRPr="00166515" w:rsidRDefault="00773E1B">
            <w:pPr>
              <w:pStyle w:val="ListParagraph"/>
              <w:ind w:left="0"/>
              <w:jc w:val="center"/>
              <w:rPr>
                <w:rFonts w:ascii="Lato" w:hAnsi="Lato"/>
                <w:b/>
                <w:bCs/>
                <w:sz w:val="22"/>
                <w:szCs w:val="22"/>
              </w:rPr>
            </w:pPr>
            <w:r w:rsidRPr="00166515">
              <w:rPr>
                <w:rFonts w:ascii="Lato" w:hAnsi="Lato"/>
                <w:b/>
                <w:bCs/>
                <w:sz w:val="22"/>
                <w:szCs w:val="22"/>
              </w:rPr>
              <w:t>6</w:t>
            </w:r>
          </w:p>
        </w:tc>
        <w:tc>
          <w:tcPr>
            <w:tcW w:w="831" w:type="dxa"/>
          </w:tcPr>
          <w:p w14:paraId="6A7086CA" w14:textId="27C719FC" w:rsidR="000F2C07" w:rsidRPr="00166515" w:rsidRDefault="00140EAF">
            <w:pPr>
              <w:pStyle w:val="ListParagraph"/>
              <w:ind w:left="0"/>
              <w:jc w:val="center"/>
              <w:rPr>
                <w:rFonts w:ascii="Lato" w:hAnsi="Lato"/>
                <w:b/>
                <w:bCs/>
                <w:sz w:val="22"/>
                <w:szCs w:val="22"/>
              </w:rPr>
            </w:pPr>
            <w:r w:rsidRPr="00166515">
              <w:rPr>
                <w:rFonts w:ascii="Lato" w:hAnsi="Lato"/>
                <w:b/>
                <w:bCs/>
                <w:sz w:val="22"/>
                <w:szCs w:val="22"/>
              </w:rPr>
              <w:t>55</w:t>
            </w:r>
            <w:r w:rsidR="000F2C07" w:rsidRPr="00166515">
              <w:rPr>
                <w:rFonts w:ascii="Lato" w:hAnsi="Lato"/>
                <w:b/>
                <w:bCs/>
                <w:sz w:val="22"/>
                <w:szCs w:val="22"/>
              </w:rPr>
              <w:t>%</w:t>
            </w:r>
          </w:p>
        </w:tc>
      </w:tr>
      <w:tr w:rsidR="000F2C07" w14:paraId="57C481EC" w14:textId="77777777" w:rsidTr="00166515">
        <w:tc>
          <w:tcPr>
            <w:tcW w:w="1519" w:type="dxa"/>
            <w:shd w:val="clear" w:color="auto" w:fill="D9D9D9" w:themeFill="background1" w:themeFillShade="D9"/>
          </w:tcPr>
          <w:p w14:paraId="04C55A27" w14:textId="77777777" w:rsidR="000F2C07" w:rsidRPr="00166515" w:rsidRDefault="000F2C07">
            <w:pPr>
              <w:pStyle w:val="ListParagraph"/>
              <w:ind w:left="0"/>
              <w:jc w:val="both"/>
              <w:rPr>
                <w:rFonts w:ascii="Lato" w:hAnsi="Lato"/>
                <w:sz w:val="22"/>
                <w:szCs w:val="22"/>
              </w:rPr>
            </w:pPr>
          </w:p>
        </w:tc>
        <w:tc>
          <w:tcPr>
            <w:tcW w:w="2734" w:type="dxa"/>
            <w:shd w:val="clear" w:color="auto" w:fill="D9D9D9" w:themeFill="background1" w:themeFillShade="D9"/>
          </w:tcPr>
          <w:p w14:paraId="2220358E" w14:textId="77777777" w:rsidR="000F2C07" w:rsidRPr="00166515" w:rsidRDefault="000F2C07">
            <w:pPr>
              <w:pStyle w:val="ListParagraph"/>
              <w:ind w:left="0"/>
              <w:jc w:val="both"/>
              <w:rPr>
                <w:rFonts w:ascii="Lato" w:hAnsi="Lato"/>
                <w:sz w:val="22"/>
                <w:szCs w:val="22"/>
              </w:rPr>
            </w:pPr>
          </w:p>
        </w:tc>
        <w:tc>
          <w:tcPr>
            <w:tcW w:w="2977" w:type="dxa"/>
            <w:shd w:val="clear" w:color="auto" w:fill="D9D9D9" w:themeFill="background1" w:themeFillShade="D9"/>
          </w:tcPr>
          <w:p w14:paraId="278DE70F" w14:textId="77777777" w:rsidR="000F2C07" w:rsidRPr="00166515" w:rsidRDefault="000F2C07">
            <w:pPr>
              <w:pStyle w:val="ListParagraph"/>
              <w:ind w:left="0"/>
              <w:jc w:val="both"/>
              <w:rPr>
                <w:rFonts w:ascii="Lato" w:hAnsi="Lato"/>
                <w:sz w:val="22"/>
                <w:szCs w:val="22"/>
              </w:rPr>
            </w:pPr>
          </w:p>
        </w:tc>
        <w:tc>
          <w:tcPr>
            <w:tcW w:w="960" w:type="dxa"/>
            <w:shd w:val="clear" w:color="auto" w:fill="D9D9D9" w:themeFill="background1" w:themeFillShade="D9"/>
          </w:tcPr>
          <w:p w14:paraId="48B34295" w14:textId="15242AE2" w:rsidR="000F2C07" w:rsidRPr="00166515" w:rsidRDefault="000F2C07">
            <w:pPr>
              <w:pStyle w:val="ListParagraph"/>
              <w:ind w:left="0"/>
              <w:jc w:val="both"/>
              <w:rPr>
                <w:rFonts w:ascii="Lato" w:hAnsi="Lato"/>
                <w:sz w:val="22"/>
                <w:szCs w:val="22"/>
              </w:rPr>
            </w:pPr>
          </w:p>
        </w:tc>
        <w:tc>
          <w:tcPr>
            <w:tcW w:w="831" w:type="dxa"/>
            <w:shd w:val="clear" w:color="auto" w:fill="D9D9D9" w:themeFill="background1" w:themeFillShade="D9"/>
          </w:tcPr>
          <w:p w14:paraId="200E183C" w14:textId="77777777" w:rsidR="000F2C07" w:rsidRPr="00166515" w:rsidRDefault="000F2C07">
            <w:pPr>
              <w:pStyle w:val="ListParagraph"/>
              <w:ind w:left="0"/>
              <w:jc w:val="both"/>
              <w:rPr>
                <w:rFonts w:ascii="Lato" w:hAnsi="Lato"/>
                <w:sz w:val="22"/>
                <w:szCs w:val="22"/>
              </w:rPr>
            </w:pPr>
          </w:p>
        </w:tc>
      </w:tr>
      <w:tr w:rsidR="000F2C07" w14:paraId="3A80CF07" w14:textId="77777777" w:rsidTr="00166515">
        <w:tc>
          <w:tcPr>
            <w:tcW w:w="1519" w:type="dxa"/>
          </w:tcPr>
          <w:p w14:paraId="28B9298E" w14:textId="77777777" w:rsidR="000F2C07" w:rsidRPr="00166515" w:rsidRDefault="000F2C07">
            <w:pPr>
              <w:pStyle w:val="ListParagraph"/>
              <w:ind w:left="0"/>
              <w:jc w:val="both"/>
              <w:rPr>
                <w:rFonts w:ascii="Lato" w:hAnsi="Lato"/>
                <w:b/>
                <w:bCs/>
                <w:sz w:val="22"/>
                <w:szCs w:val="22"/>
              </w:rPr>
            </w:pPr>
            <w:r w:rsidRPr="00166515">
              <w:rPr>
                <w:rFonts w:ascii="Lato" w:hAnsi="Lato"/>
                <w:b/>
                <w:bCs/>
                <w:sz w:val="22"/>
                <w:szCs w:val="22"/>
              </w:rPr>
              <w:t>Total</w:t>
            </w:r>
          </w:p>
        </w:tc>
        <w:tc>
          <w:tcPr>
            <w:tcW w:w="2734" w:type="dxa"/>
          </w:tcPr>
          <w:p w14:paraId="627BF8DC" w14:textId="6E9C1C70" w:rsidR="000F2C07" w:rsidRPr="00166515" w:rsidRDefault="00B313AF" w:rsidP="00EE0FF6">
            <w:pPr>
              <w:pStyle w:val="ListParagraph"/>
              <w:ind w:left="0"/>
              <w:jc w:val="center"/>
              <w:rPr>
                <w:rFonts w:ascii="Lato" w:hAnsi="Lato"/>
                <w:b/>
                <w:bCs/>
                <w:sz w:val="22"/>
                <w:szCs w:val="22"/>
              </w:rPr>
            </w:pPr>
            <w:r w:rsidRPr="00166515">
              <w:rPr>
                <w:rFonts w:ascii="Lato" w:hAnsi="Lato"/>
                <w:b/>
                <w:bCs/>
                <w:sz w:val="22"/>
                <w:szCs w:val="22"/>
              </w:rPr>
              <w:t>5</w:t>
            </w:r>
          </w:p>
        </w:tc>
        <w:tc>
          <w:tcPr>
            <w:tcW w:w="2977" w:type="dxa"/>
          </w:tcPr>
          <w:p w14:paraId="58537BA6" w14:textId="15E41DB0" w:rsidR="000F2C07" w:rsidRPr="00166515" w:rsidRDefault="00B313AF" w:rsidP="00CE3117">
            <w:pPr>
              <w:jc w:val="center"/>
              <w:rPr>
                <w:rFonts w:ascii="Lato" w:hAnsi="Lato"/>
                <w:b/>
                <w:bCs/>
              </w:rPr>
            </w:pPr>
            <w:r w:rsidRPr="00166515">
              <w:rPr>
                <w:rFonts w:ascii="Lato" w:hAnsi="Lato"/>
                <w:b/>
                <w:bCs/>
              </w:rPr>
              <w:t>6</w:t>
            </w:r>
          </w:p>
        </w:tc>
        <w:tc>
          <w:tcPr>
            <w:tcW w:w="960" w:type="dxa"/>
          </w:tcPr>
          <w:p w14:paraId="49070CAD" w14:textId="5B334413" w:rsidR="000F2C07" w:rsidRPr="00166515" w:rsidRDefault="00D21408" w:rsidP="00DE3D15">
            <w:pPr>
              <w:jc w:val="center"/>
              <w:rPr>
                <w:rFonts w:ascii="Lato" w:hAnsi="Lato"/>
                <w:b/>
                <w:bCs/>
              </w:rPr>
            </w:pPr>
            <w:r w:rsidRPr="00166515">
              <w:rPr>
                <w:rFonts w:ascii="Lato" w:hAnsi="Lato"/>
                <w:b/>
                <w:bCs/>
              </w:rPr>
              <w:t>11</w:t>
            </w:r>
          </w:p>
        </w:tc>
        <w:tc>
          <w:tcPr>
            <w:tcW w:w="831" w:type="dxa"/>
          </w:tcPr>
          <w:p w14:paraId="2E7E333F" w14:textId="77777777" w:rsidR="000F2C07" w:rsidRPr="00166515" w:rsidRDefault="000F2C07" w:rsidP="000901AE">
            <w:pPr>
              <w:pStyle w:val="ListParagraph"/>
              <w:ind w:left="0"/>
              <w:jc w:val="center"/>
              <w:rPr>
                <w:rFonts w:ascii="Lato" w:hAnsi="Lato"/>
                <w:b/>
                <w:bCs/>
                <w:sz w:val="22"/>
                <w:szCs w:val="22"/>
              </w:rPr>
            </w:pPr>
            <w:r w:rsidRPr="00166515">
              <w:rPr>
                <w:rFonts w:ascii="Lato" w:hAnsi="Lato"/>
                <w:b/>
                <w:bCs/>
                <w:sz w:val="22"/>
                <w:szCs w:val="22"/>
              </w:rPr>
              <w:t>100%</w:t>
            </w:r>
          </w:p>
        </w:tc>
      </w:tr>
    </w:tbl>
    <w:p w14:paraId="4EC1BC2B" w14:textId="77777777" w:rsidR="000F2C07" w:rsidRPr="00086A95" w:rsidRDefault="000F2C07" w:rsidP="00086A95">
      <w:pPr>
        <w:jc w:val="both"/>
        <w:rPr>
          <w:rFonts w:ascii="Lato" w:hAnsi="Lato" w:cs="Calibri"/>
        </w:rPr>
      </w:pPr>
    </w:p>
    <w:p w14:paraId="143D9B84" w14:textId="5B13E87B" w:rsidR="00AC0196" w:rsidRDefault="00AC0196" w:rsidP="00AC0196">
      <w:pPr>
        <w:pStyle w:val="ListParagraph"/>
        <w:numPr>
          <w:ilvl w:val="0"/>
          <w:numId w:val="3"/>
        </w:numPr>
        <w:contextualSpacing w:val="0"/>
        <w:rPr>
          <w:rFonts w:ascii="Lato" w:hAnsi="Lato" w:cs="Calibri"/>
          <w:b/>
          <w:sz w:val="22"/>
          <w:szCs w:val="22"/>
        </w:rPr>
      </w:pPr>
      <w:r w:rsidRPr="00E154F5">
        <w:rPr>
          <w:rFonts w:ascii="Lato" w:hAnsi="Lato" w:cs="Calibri"/>
          <w:b/>
          <w:sz w:val="22"/>
          <w:szCs w:val="22"/>
        </w:rPr>
        <w:t xml:space="preserve">Process </w:t>
      </w:r>
    </w:p>
    <w:p w14:paraId="41614903" w14:textId="77777777" w:rsidR="00BA3205" w:rsidRPr="00BA3205" w:rsidRDefault="00BA3205" w:rsidP="00BA3205">
      <w:pPr>
        <w:pStyle w:val="ListParagraph"/>
        <w:ind w:left="0"/>
        <w:contextualSpacing w:val="0"/>
        <w:rPr>
          <w:rFonts w:ascii="Lato" w:hAnsi="Lato" w:cs="Calibri"/>
          <w:b/>
          <w:sz w:val="22"/>
          <w:szCs w:val="22"/>
        </w:rPr>
      </w:pPr>
    </w:p>
    <w:p w14:paraId="4D7B09D0" w14:textId="1B7AEBB5" w:rsidR="00AC0196" w:rsidRPr="00E154F5" w:rsidRDefault="00AC0196" w:rsidP="00AC0196">
      <w:pPr>
        <w:jc w:val="both"/>
        <w:rPr>
          <w:rFonts w:ascii="Lato" w:hAnsi="Lato" w:cs="Calibri"/>
          <w:bCs/>
        </w:rPr>
      </w:pPr>
      <w:r w:rsidRPr="00E154F5">
        <w:rPr>
          <w:rFonts w:ascii="Lato" w:hAnsi="Lato" w:cs="Calibri"/>
          <w:bCs/>
        </w:rPr>
        <w:t>Properties will be advertised via Property Pool Plus in a staggered manner</w:t>
      </w:r>
      <w:r w:rsidR="00166515">
        <w:rPr>
          <w:rFonts w:ascii="Lato" w:hAnsi="Lato" w:cs="Calibri"/>
          <w:bCs/>
        </w:rPr>
        <w:t xml:space="preserve"> with three – four </w:t>
      </w:r>
      <w:r w:rsidR="00CB7F41">
        <w:rPr>
          <w:rFonts w:ascii="Lato" w:hAnsi="Lato" w:cs="Calibri"/>
          <w:bCs/>
        </w:rPr>
        <w:t xml:space="preserve"> </w:t>
      </w:r>
      <w:r w:rsidRPr="00E154F5">
        <w:rPr>
          <w:rFonts w:ascii="Lato" w:hAnsi="Lato" w:cs="Calibri"/>
          <w:bCs/>
        </w:rPr>
        <w:t xml:space="preserve">properties advertised each week to ensure that applicants have multiple opportunities to bid. Adverts will state </w:t>
      </w:r>
      <w:r w:rsidR="00086A95">
        <w:rPr>
          <w:rFonts w:ascii="Lato" w:hAnsi="Lato" w:cs="Calibri"/>
          <w:bCs/>
        </w:rPr>
        <w:t>the</w:t>
      </w:r>
      <w:r w:rsidRPr="00E154F5">
        <w:rPr>
          <w:rFonts w:ascii="Lato" w:hAnsi="Lato" w:cs="Calibri"/>
          <w:bCs/>
        </w:rPr>
        <w:t xml:space="preserve"> </w:t>
      </w:r>
      <w:r w:rsidR="00086A95">
        <w:rPr>
          <w:rFonts w:ascii="Lato" w:hAnsi="Lato" w:cs="Calibri"/>
          <w:bCs/>
        </w:rPr>
        <w:t>priority for certain housing bands and preference criteria</w:t>
      </w:r>
      <w:r w:rsidR="00F8595D">
        <w:rPr>
          <w:rFonts w:ascii="Lato" w:hAnsi="Lato" w:cs="Calibri"/>
          <w:bCs/>
        </w:rPr>
        <w:t xml:space="preserve"> which will help applicants when making a choice about whether to </w:t>
      </w:r>
      <w:r w:rsidR="002A5EE1">
        <w:rPr>
          <w:rFonts w:ascii="Lato" w:hAnsi="Lato" w:cs="Calibri"/>
          <w:bCs/>
        </w:rPr>
        <w:t>pla</w:t>
      </w:r>
      <w:r w:rsidR="008B0A0F">
        <w:rPr>
          <w:rFonts w:ascii="Lato" w:hAnsi="Lato" w:cs="Calibri"/>
          <w:bCs/>
        </w:rPr>
        <w:t>ce a bid</w:t>
      </w:r>
      <w:r w:rsidR="00086A95">
        <w:rPr>
          <w:rFonts w:ascii="Lato" w:hAnsi="Lato" w:cs="Calibri"/>
          <w:bCs/>
        </w:rPr>
        <w:t>.</w:t>
      </w:r>
      <w:r w:rsidRPr="00E154F5">
        <w:rPr>
          <w:rFonts w:ascii="Lato" w:hAnsi="Lato" w:cs="Calibri"/>
          <w:bCs/>
        </w:rPr>
        <w:t xml:space="preserve"> </w:t>
      </w:r>
    </w:p>
    <w:p w14:paraId="65FA38DF" w14:textId="30C78A4F" w:rsidR="00AC0196" w:rsidRPr="00E154F5" w:rsidRDefault="00E154F5" w:rsidP="000B3D97">
      <w:pPr>
        <w:jc w:val="both"/>
        <w:rPr>
          <w:rFonts w:ascii="Lato" w:hAnsi="Lato" w:cs="Calibri"/>
        </w:rPr>
      </w:pPr>
      <w:r w:rsidRPr="00E154F5">
        <w:rPr>
          <w:rStyle w:val="cf01"/>
          <w:rFonts w:ascii="Lato" w:hAnsi="Lato" w:cs="Calibri"/>
          <w:sz w:val="22"/>
          <w:szCs w:val="22"/>
        </w:rPr>
        <w:t>If</w:t>
      </w:r>
      <w:r w:rsidR="00AC0196" w:rsidRPr="00E154F5">
        <w:rPr>
          <w:rStyle w:val="cf01"/>
          <w:rFonts w:ascii="Lato" w:hAnsi="Lato" w:cs="Calibri"/>
          <w:sz w:val="22"/>
          <w:szCs w:val="22"/>
        </w:rPr>
        <w:t xml:space="preserve"> there are no suitable applicants on the shortlist with the</w:t>
      </w:r>
      <w:r w:rsidR="00086A95">
        <w:rPr>
          <w:rStyle w:val="cf01"/>
          <w:rFonts w:ascii="Lato" w:hAnsi="Lato" w:cs="Calibri"/>
          <w:sz w:val="22"/>
          <w:szCs w:val="22"/>
        </w:rPr>
        <w:t xml:space="preserve"> advertised housing banding and preference,</w:t>
      </w:r>
      <w:r w:rsidR="00AC0196" w:rsidRPr="00E154F5">
        <w:rPr>
          <w:rFonts w:ascii="Lato" w:hAnsi="Lato" w:cs="Calibri"/>
        </w:rPr>
        <w:t xml:space="preserve"> </w:t>
      </w:r>
      <w:r w:rsidR="00D721BC" w:rsidRPr="00E154F5">
        <w:rPr>
          <w:rFonts w:ascii="Lato" w:hAnsi="Lato" w:cs="Calibri"/>
        </w:rPr>
        <w:t>Prima Group</w:t>
      </w:r>
      <w:r w:rsidR="00AC0196" w:rsidRPr="00E154F5">
        <w:rPr>
          <w:rFonts w:ascii="Lato" w:hAnsi="Lato" w:cs="Calibri"/>
        </w:rPr>
        <w:t xml:space="preserve"> will revi</w:t>
      </w:r>
      <w:r w:rsidR="00086A95">
        <w:rPr>
          <w:rFonts w:ascii="Lato" w:hAnsi="Lato" w:cs="Calibri"/>
        </w:rPr>
        <w:t>ew</w:t>
      </w:r>
      <w:r w:rsidR="00AC0196" w:rsidRPr="00E154F5">
        <w:rPr>
          <w:rFonts w:ascii="Lato" w:hAnsi="Lato" w:cs="Calibri"/>
        </w:rPr>
        <w:t xml:space="preserve"> </w:t>
      </w:r>
      <w:r w:rsidR="00F360AD">
        <w:rPr>
          <w:rFonts w:ascii="Lato" w:hAnsi="Lato" w:cs="Calibri"/>
        </w:rPr>
        <w:t>th</w:t>
      </w:r>
      <w:r w:rsidR="005D254C">
        <w:rPr>
          <w:rFonts w:ascii="Lato" w:hAnsi="Lato" w:cs="Calibri"/>
        </w:rPr>
        <w:t>e</w:t>
      </w:r>
      <w:r w:rsidR="00F360AD">
        <w:rPr>
          <w:rFonts w:ascii="Lato" w:hAnsi="Lato" w:cs="Calibri"/>
        </w:rPr>
        <w:t xml:space="preserve"> shortlist </w:t>
      </w:r>
      <w:r w:rsidR="00AC0196" w:rsidRPr="00E154F5">
        <w:rPr>
          <w:rFonts w:ascii="Lato" w:hAnsi="Lato" w:cs="Calibri"/>
        </w:rPr>
        <w:t xml:space="preserve">and allocate the property </w:t>
      </w:r>
      <w:r w:rsidR="00086A95">
        <w:rPr>
          <w:rFonts w:ascii="Lato" w:hAnsi="Lato" w:cs="Calibri"/>
        </w:rPr>
        <w:t>based on</w:t>
      </w:r>
      <w:r w:rsidR="00D077C1">
        <w:rPr>
          <w:rFonts w:ascii="Lato" w:hAnsi="Lato" w:cs="Calibri"/>
        </w:rPr>
        <w:t xml:space="preserve"> the applicant’s</w:t>
      </w:r>
      <w:r w:rsidR="00086A95">
        <w:rPr>
          <w:rFonts w:ascii="Lato" w:hAnsi="Lato" w:cs="Calibri"/>
        </w:rPr>
        <w:t xml:space="preserve"> length of time on the housing </w:t>
      </w:r>
      <w:r w:rsidR="00D077C1">
        <w:rPr>
          <w:rFonts w:ascii="Lato" w:hAnsi="Lato" w:cs="Calibri"/>
        </w:rPr>
        <w:t>register,</w:t>
      </w:r>
      <w:r w:rsidR="005D254C">
        <w:rPr>
          <w:rFonts w:ascii="Lato" w:hAnsi="Lato" w:cs="Calibri"/>
        </w:rPr>
        <w:t xml:space="preserve"> disregarding the preference</w:t>
      </w:r>
      <w:r w:rsidR="005D254C" w:rsidRPr="00E154F5" w:rsidDel="005D254C">
        <w:rPr>
          <w:rFonts w:ascii="Lato" w:hAnsi="Lato" w:cs="Calibri"/>
        </w:rPr>
        <w:t xml:space="preserve"> </w:t>
      </w:r>
      <w:r w:rsidR="00D077C1">
        <w:rPr>
          <w:rFonts w:ascii="Lato" w:hAnsi="Lato" w:cs="Calibri"/>
        </w:rPr>
        <w:t>applied to advert/ particular property.</w:t>
      </w:r>
    </w:p>
    <w:p w14:paraId="70C4E7A1" w14:textId="6F16176D" w:rsidR="00AC0196" w:rsidRPr="00E154F5" w:rsidRDefault="0038600F" w:rsidP="000901AE">
      <w:pPr>
        <w:jc w:val="both"/>
        <w:rPr>
          <w:rFonts w:ascii="Lato" w:hAnsi="Lato" w:cs="Calibri"/>
        </w:rPr>
      </w:pPr>
      <w:r w:rsidRPr="00E154F5">
        <w:rPr>
          <w:rFonts w:ascii="Lato" w:hAnsi="Lato" w:cs="Calibri"/>
        </w:rPr>
        <w:t>If</w:t>
      </w:r>
      <w:r w:rsidR="00AC0196" w:rsidRPr="00E154F5">
        <w:rPr>
          <w:rFonts w:ascii="Lato" w:hAnsi="Lato" w:cs="Calibri"/>
        </w:rPr>
        <w:t xml:space="preserve"> </w:t>
      </w:r>
      <w:r w:rsidR="00086A95">
        <w:rPr>
          <w:rFonts w:ascii="Lato" w:hAnsi="Lato" w:cs="Calibri"/>
        </w:rPr>
        <w:t xml:space="preserve">no suitable </w:t>
      </w:r>
      <w:r w:rsidR="00AC0196" w:rsidRPr="00E154F5">
        <w:rPr>
          <w:rFonts w:ascii="Lato" w:hAnsi="Lato" w:cs="Calibri"/>
        </w:rPr>
        <w:t xml:space="preserve">applicants </w:t>
      </w:r>
      <w:r w:rsidR="00086A95">
        <w:rPr>
          <w:rFonts w:ascii="Lato" w:hAnsi="Lato" w:cs="Calibri"/>
        </w:rPr>
        <w:t xml:space="preserve">are identified </w:t>
      </w:r>
      <w:r w:rsidR="00C90140">
        <w:rPr>
          <w:rFonts w:ascii="Lato" w:hAnsi="Lato" w:cs="Calibri"/>
        </w:rPr>
        <w:t xml:space="preserve">through Property Pool Plus, Prima </w:t>
      </w:r>
      <w:r w:rsidR="00B52A89">
        <w:rPr>
          <w:rFonts w:ascii="Lato" w:hAnsi="Lato" w:cs="Calibri"/>
        </w:rPr>
        <w:t xml:space="preserve">Group </w:t>
      </w:r>
      <w:r w:rsidR="00C90140">
        <w:rPr>
          <w:rFonts w:ascii="Lato" w:hAnsi="Lato" w:cs="Calibri"/>
        </w:rPr>
        <w:t xml:space="preserve">will </w:t>
      </w:r>
      <w:r w:rsidR="00440FB4">
        <w:rPr>
          <w:rFonts w:ascii="Lato" w:hAnsi="Lato" w:cs="Calibri"/>
        </w:rPr>
        <w:t xml:space="preserve">discuss </w:t>
      </w:r>
      <w:r w:rsidR="00E8775D">
        <w:rPr>
          <w:rFonts w:ascii="Lato" w:hAnsi="Lato" w:cs="Calibri"/>
        </w:rPr>
        <w:t>any other alternatives</w:t>
      </w:r>
      <w:r w:rsidR="007163C9">
        <w:rPr>
          <w:rFonts w:ascii="Lato" w:hAnsi="Lato" w:cs="Calibri"/>
        </w:rPr>
        <w:t xml:space="preserve"> with Know</w:t>
      </w:r>
      <w:r w:rsidR="00C613BC">
        <w:rPr>
          <w:rFonts w:ascii="Lato" w:hAnsi="Lato" w:cs="Calibri"/>
        </w:rPr>
        <w:t>sley and then</w:t>
      </w:r>
      <w:r w:rsidR="00E8775D">
        <w:rPr>
          <w:rFonts w:ascii="Lato" w:hAnsi="Lato" w:cs="Calibri"/>
        </w:rPr>
        <w:t xml:space="preserve"> </w:t>
      </w:r>
      <w:r w:rsidR="00C90140">
        <w:rPr>
          <w:rFonts w:ascii="Lato" w:hAnsi="Lato" w:cs="Calibri"/>
        </w:rPr>
        <w:t>look to allocate the property through our own waiting list, including internal transfers based on the priority banding groups.</w:t>
      </w:r>
      <w:r w:rsidR="00086A95">
        <w:rPr>
          <w:rFonts w:ascii="Lato" w:hAnsi="Lato" w:cs="Calibri"/>
        </w:rPr>
        <w:t xml:space="preserve"> </w:t>
      </w:r>
    </w:p>
    <w:p w14:paraId="38F9201F" w14:textId="68E17821" w:rsidR="00AC0196" w:rsidRPr="00E154F5" w:rsidRDefault="00AC0196" w:rsidP="000B3D97">
      <w:pPr>
        <w:jc w:val="both"/>
        <w:rPr>
          <w:rFonts w:ascii="Lato" w:hAnsi="Lato" w:cs="Calibri"/>
        </w:rPr>
      </w:pPr>
      <w:r w:rsidRPr="00E154F5">
        <w:rPr>
          <w:rFonts w:ascii="Lato" w:hAnsi="Lato" w:cs="Calibri"/>
        </w:rPr>
        <w:lastRenderedPageBreak/>
        <w:t>At the point of lettings</w:t>
      </w:r>
      <w:r w:rsidR="00AD4234">
        <w:rPr>
          <w:rFonts w:ascii="Lato" w:hAnsi="Lato" w:cs="Calibri"/>
        </w:rPr>
        <w:t>,</w:t>
      </w:r>
      <w:r w:rsidRPr="00E154F5">
        <w:rPr>
          <w:rFonts w:ascii="Lato" w:hAnsi="Lato" w:cs="Calibri"/>
        </w:rPr>
        <w:t xml:space="preserve"> all applicants must have provided all proofs required and requested, or their expression of interest will not be considered. Applicants will also be required to undergo checks in relation to how they have managed previous tenancies</w:t>
      </w:r>
      <w:r w:rsidR="00C90140">
        <w:rPr>
          <w:rFonts w:ascii="Lato" w:hAnsi="Lato" w:cs="Calibri"/>
        </w:rPr>
        <w:t xml:space="preserve"> and references will be requested</w:t>
      </w:r>
      <w:r w:rsidRPr="00E154F5">
        <w:rPr>
          <w:rFonts w:ascii="Lato" w:hAnsi="Lato" w:cs="Calibri"/>
        </w:rPr>
        <w:t>. Any applicant who has had an unsuccessful tenancy previously may not be considered for a property on this</w:t>
      </w:r>
      <w:r w:rsidRPr="00E154F5" w:rsidDel="00AD2FF4">
        <w:rPr>
          <w:rFonts w:ascii="Lato" w:hAnsi="Lato" w:cs="Calibri"/>
        </w:rPr>
        <w:t xml:space="preserve"> </w:t>
      </w:r>
      <w:r w:rsidRPr="00E154F5">
        <w:rPr>
          <w:rFonts w:ascii="Lato" w:hAnsi="Lato" w:cs="Calibri"/>
        </w:rPr>
        <w:t>development</w:t>
      </w:r>
      <w:r w:rsidR="00EC203C">
        <w:rPr>
          <w:rFonts w:ascii="Lato" w:hAnsi="Lato" w:cs="Calibri"/>
        </w:rPr>
        <w:t xml:space="preserve"> which is in line with Prima</w:t>
      </w:r>
      <w:r w:rsidR="009C4292">
        <w:rPr>
          <w:rFonts w:ascii="Lato" w:hAnsi="Lato" w:cs="Calibri"/>
        </w:rPr>
        <w:t>’s</w:t>
      </w:r>
      <w:r w:rsidR="00EC203C">
        <w:rPr>
          <w:rFonts w:ascii="Lato" w:hAnsi="Lato" w:cs="Calibri"/>
        </w:rPr>
        <w:t xml:space="preserve"> Allocation Policy</w:t>
      </w:r>
      <w:r w:rsidR="00247C6F">
        <w:rPr>
          <w:rFonts w:ascii="Lato" w:hAnsi="Lato" w:cs="Calibri"/>
        </w:rPr>
        <w:t xml:space="preserve"> </w:t>
      </w:r>
      <w:r w:rsidR="00CD6A08">
        <w:rPr>
          <w:rFonts w:ascii="Lato" w:hAnsi="Lato" w:cs="Calibri"/>
        </w:rPr>
        <w:t>(</w:t>
      </w:r>
      <w:r w:rsidR="00DE3D15">
        <w:rPr>
          <w:rFonts w:ascii="Lato" w:hAnsi="Lato" w:cs="Calibri"/>
        </w:rPr>
        <w:t>S</w:t>
      </w:r>
      <w:r w:rsidR="00247C6F">
        <w:rPr>
          <w:rFonts w:ascii="Lato" w:hAnsi="Lato" w:cs="Calibri"/>
        </w:rPr>
        <w:t>ection.</w:t>
      </w:r>
      <w:r w:rsidR="00DE3D15">
        <w:rPr>
          <w:rFonts w:ascii="Lato" w:hAnsi="Lato" w:cs="Calibri"/>
        </w:rPr>
        <w:t xml:space="preserve"> </w:t>
      </w:r>
      <w:r w:rsidR="00247C6F">
        <w:rPr>
          <w:rFonts w:ascii="Lato" w:hAnsi="Lato" w:cs="Calibri"/>
        </w:rPr>
        <w:t>4</w:t>
      </w:r>
      <w:r w:rsidR="00CD6A08">
        <w:rPr>
          <w:rFonts w:ascii="Lato" w:hAnsi="Lato" w:cs="Calibri"/>
        </w:rPr>
        <w:t>)</w:t>
      </w:r>
    </w:p>
    <w:p w14:paraId="13B00027" w14:textId="051365E5" w:rsidR="00E154F5" w:rsidRPr="00E154F5" w:rsidRDefault="00AC0196" w:rsidP="005933BC">
      <w:pPr>
        <w:jc w:val="both"/>
        <w:rPr>
          <w:rFonts w:ascii="Lato" w:hAnsi="Lato" w:cs="Calibri"/>
          <w:bCs/>
        </w:rPr>
      </w:pPr>
      <w:r w:rsidRPr="00E154F5">
        <w:rPr>
          <w:rFonts w:ascii="Lato" w:hAnsi="Lato" w:cs="Calibri"/>
          <w:bCs/>
        </w:rPr>
        <w:t xml:space="preserve">All applicants will be subject to an Affordability Assessment </w:t>
      </w:r>
      <w:r w:rsidR="00280F94" w:rsidRPr="00E154F5">
        <w:rPr>
          <w:rFonts w:ascii="Lato" w:hAnsi="Lato" w:cs="Calibri"/>
          <w:bCs/>
        </w:rPr>
        <w:t>to ensure</w:t>
      </w:r>
      <w:r w:rsidRPr="00E154F5">
        <w:rPr>
          <w:rFonts w:ascii="Lato" w:hAnsi="Lato" w:cs="Calibri"/>
          <w:bCs/>
        </w:rPr>
        <w:t xml:space="preserve"> </w:t>
      </w:r>
      <w:r w:rsidR="00C90140">
        <w:rPr>
          <w:rFonts w:ascii="Lato" w:hAnsi="Lato" w:cs="Calibri"/>
          <w:bCs/>
        </w:rPr>
        <w:t xml:space="preserve">they </w:t>
      </w:r>
      <w:r w:rsidRPr="00E154F5">
        <w:rPr>
          <w:rFonts w:ascii="Lato" w:hAnsi="Lato" w:cs="Calibri"/>
          <w:bCs/>
        </w:rPr>
        <w:t xml:space="preserve">can afford the rent and other costs of the tenancy. </w:t>
      </w:r>
      <w:r w:rsidR="000B3D97" w:rsidRPr="00E154F5">
        <w:rPr>
          <w:rFonts w:ascii="Lato" w:hAnsi="Lato" w:cs="Calibri"/>
          <w:bCs/>
        </w:rPr>
        <w:t>Prima Group</w:t>
      </w:r>
      <w:r w:rsidRPr="00E154F5">
        <w:rPr>
          <w:rFonts w:ascii="Lato" w:hAnsi="Lato" w:cs="Calibri"/>
          <w:bCs/>
        </w:rPr>
        <w:t xml:space="preserve"> reserve the right to not make an offer to an applicant who is unable to afford the property irrespective of their housing need.</w:t>
      </w:r>
    </w:p>
    <w:p w14:paraId="42753373" w14:textId="3CACA7A2" w:rsidR="00C90140" w:rsidRPr="00DE3D15" w:rsidRDefault="00AC0196" w:rsidP="009A4A62">
      <w:pPr>
        <w:pStyle w:val="ListParagraph"/>
        <w:numPr>
          <w:ilvl w:val="0"/>
          <w:numId w:val="3"/>
        </w:numPr>
        <w:contextualSpacing w:val="0"/>
        <w:rPr>
          <w:rFonts w:ascii="Lato" w:hAnsi="Lato" w:cs="Calibri"/>
        </w:rPr>
      </w:pPr>
      <w:r w:rsidRPr="00E154F5">
        <w:rPr>
          <w:rFonts w:ascii="Lato" w:hAnsi="Lato" w:cs="Calibri"/>
          <w:b/>
          <w:sz w:val="22"/>
          <w:szCs w:val="22"/>
        </w:rPr>
        <w:t>Review and Monitoring</w:t>
      </w:r>
    </w:p>
    <w:p w14:paraId="6C89C07E" w14:textId="77777777" w:rsidR="00DE3D15" w:rsidRPr="009A4A62" w:rsidRDefault="00DE3D15" w:rsidP="00DE3D15">
      <w:pPr>
        <w:pStyle w:val="ListParagraph"/>
        <w:ind w:left="0"/>
        <w:contextualSpacing w:val="0"/>
        <w:rPr>
          <w:rFonts w:ascii="Lato" w:hAnsi="Lato" w:cs="Calibri"/>
        </w:rPr>
      </w:pPr>
    </w:p>
    <w:p w14:paraId="1C10219D" w14:textId="2DB98D79" w:rsidR="00AC0196" w:rsidRPr="00E154F5" w:rsidRDefault="00AC0196" w:rsidP="005933BC">
      <w:pPr>
        <w:rPr>
          <w:rFonts w:ascii="Lato" w:hAnsi="Lato" w:cs="Calibri"/>
        </w:rPr>
      </w:pPr>
      <w:r w:rsidRPr="00E154F5">
        <w:rPr>
          <w:rFonts w:ascii="Lato" w:hAnsi="Lato" w:cs="Calibri"/>
        </w:rPr>
        <w:t>This policy will be reviewed after 6 months to ensure it meets the needs of the following:</w:t>
      </w:r>
    </w:p>
    <w:p w14:paraId="31E642AD" w14:textId="560FB83E" w:rsidR="00AC0196" w:rsidRPr="00E154F5" w:rsidRDefault="00AC0196" w:rsidP="00AC0196">
      <w:pPr>
        <w:numPr>
          <w:ilvl w:val="0"/>
          <w:numId w:val="1"/>
        </w:numPr>
        <w:spacing w:after="0" w:line="240" w:lineRule="auto"/>
        <w:jc w:val="both"/>
        <w:rPr>
          <w:rFonts w:ascii="Lato" w:hAnsi="Lato" w:cs="Calibri"/>
        </w:rPr>
      </w:pPr>
      <w:r w:rsidRPr="00E154F5">
        <w:rPr>
          <w:rFonts w:ascii="Lato" w:hAnsi="Lato" w:cs="Calibri"/>
        </w:rPr>
        <w:t xml:space="preserve">Residents living on the new development </w:t>
      </w:r>
      <w:r w:rsidR="00254B09" w:rsidRPr="00E154F5">
        <w:rPr>
          <w:rFonts w:ascii="Lato" w:hAnsi="Lato" w:cs="Calibri"/>
        </w:rPr>
        <w:t>sites.</w:t>
      </w:r>
      <w:r w:rsidRPr="00E154F5">
        <w:rPr>
          <w:rFonts w:ascii="Lato" w:hAnsi="Lato" w:cs="Calibri"/>
        </w:rPr>
        <w:t xml:space="preserve"> </w:t>
      </w:r>
    </w:p>
    <w:p w14:paraId="6998BAFD" w14:textId="77777777" w:rsidR="00AC0196" w:rsidRPr="00E154F5" w:rsidRDefault="00AC0196" w:rsidP="00AC0196">
      <w:pPr>
        <w:numPr>
          <w:ilvl w:val="0"/>
          <w:numId w:val="1"/>
        </w:numPr>
        <w:spacing w:after="0" w:line="240" w:lineRule="auto"/>
        <w:jc w:val="both"/>
        <w:rPr>
          <w:rFonts w:ascii="Lato" w:hAnsi="Lato" w:cs="Calibri"/>
        </w:rPr>
      </w:pPr>
      <w:r w:rsidRPr="00E154F5">
        <w:rPr>
          <w:rFonts w:ascii="Lato" w:hAnsi="Lato" w:cs="Calibri"/>
        </w:rPr>
        <w:t>Surrounding Community</w:t>
      </w:r>
    </w:p>
    <w:p w14:paraId="234A7B71" w14:textId="77777777" w:rsidR="00AC0196" w:rsidRPr="00E154F5" w:rsidRDefault="00AC0196" w:rsidP="00AC0196">
      <w:pPr>
        <w:numPr>
          <w:ilvl w:val="0"/>
          <w:numId w:val="1"/>
        </w:numPr>
        <w:spacing w:after="0" w:line="240" w:lineRule="auto"/>
        <w:jc w:val="both"/>
        <w:rPr>
          <w:rFonts w:ascii="Lato" w:hAnsi="Lato" w:cs="Calibri"/>
        </w:rPr>
      </w:pPr>
      <w:r w:rsidRPr="00E154F5">
        <w:rPr>
          <w:rFonts w:ascii="Lato" w:hAnsi="Lato" w:cs="Calibri"/>
        </w:rPr>
        <w:t xml:space="preserve">Best practice and legislation </w:t>
      </w:r>
    </w:p>
    <w:p w14:paraId="7B6E575E" w14:textId="77777777" w:rsidR="00AC0196" w:rsidRPr="00E154F5" w:rsidRDefault="00AC0196" w:rsidP="00AC0196">
      <w:pPr>
        <w:numPr>
          <w:ilvl w:val="0"/>
          <w:numId w:val="1"/>
        </w:numPr>
        <w:spacing w:after="0" w:line="240" w:lineRule="auto"/>
        <w:jc w:val="both"/>
        <w:rPr>
          <w:rFonts w:ascii="Lato" w:hAnsi="Lato" w:cs="Calibri"/>
        </w:rPr>
      </w:pPr>
      <w:r w:rsidRPr="00E154F5">
        <w:rPr>
          <w:rFonts w:ascii="Lato" w:hAnsi="Lato" w:cs="Calibri"/>
        </w:rPr>
        <w:t>The housing market in Knowsley</w:t>
      </w:r>
    </w:p>
    <w:p w14:paraId="643A3B69" w14:textId="1369D07E" w:rsidR="00E154F5" w:rsidRDefault="00AC0196" w:rsidP="00AC0196">
      <w:pPr>
        <w:numPr>
          <w:ilvl w:val="0"/>
          <w:numId w:val="1"/>
        </w:numPr>
        <w:spacing w:after="0" w:line="240" w:lineRule="auto"/>
        <w:jc w:val="both"/>
        <w:rPr>
          <w:rFonts w:ascii="Lato" w:hAnsi="Lato" w:cs="Calibri"/>
        </w:rPr>
      </w:pPr>
      <w:r w:rsidRPr="00E154F5">
        <w:rPr>
          <w:rFonts w:ascii="Lato" w:hAnsi="Lato" w:cs="Calibri"/>
        </w:rPr>
        <w:t xml:space="preserve">Knowsley Council’s strategic housing needs. </w:t>
      </w:r>
    </w:p>
    <w:p w14:paraId="34B33E81" w14:textId="77777777" w:rsidR="00166515" w:rsidRPr="00166515" w:rsidRDefault="00166515" w:rsidP="00166515">
      <w:pPr>
        <w:spacing w:after="0" w:line="240" w:lineRule="auto"/>
        <w:ind w:left="720"/>
        <w:jc w:val="both"/>
        <w:rPr>
          <w:rFonts w:ascii="Lato" w:hAnsi="Lato" w:cs="Calibri"/>
        </w:rPr>
      </w:pPr>
    </w:p>
    <w:p w14:paraId="768BBB0D" w14:textId="7BB538D5" w:rsidR="00AC0196" w:rsidRPr="00E154F5" w:rsidRDefault="005933BC" w:rsidP="00AC0196">
      <w:pPr>
        <w:jc w:val="both"/>
        <w:rPr>
          <w:rFonts w:ascii="Lato" w:hAnsi="Lato" w:cs="Calibri"/>
        </w:rPr>
      </w:pPr>
      <w:r w:rsidRPr="00E154F5">
        <w:rPr>
          <w:rFonts w:ascii="Lato" w:hAnsi="Lato" w:cs="Calibri"/>
        </w:rPr>
        <w:t>Prima Group</w:t>
      </w:r>
      <w:r w:rsidR="00AC0196" w:rsidRPr="00E154F5">
        <w:rPr>
          <w:rFonts w:ascii="Lato" w:hAnsi="Lato" w:cs="Calibri"/>
        </w:rPr>
        <w:t xml:space="preserve"> will review this policy in consultation with Knowsley Metropolitan Borough Council</w:t>
      </w:r>
      <w:r w:rsidR="00C90140">
        <w:rPr>
          <w:rFonts w:ascii="Lato" w:hAnsi="Lato" w:cs="Calibri"/>
        </w:rPr>
        <w:t>.</w:t>
      </w:r>
    </w:p>
    <w:p w14:paraId="6646F5C3" w14:textId="77777777" w:rsidR="00AC0196" w:rsidRDefault="00AC0196" w:rsidP="00AC0196">
      <w:pPr>
        <w:pStyle w:val="ListParagraph"/>
        <w:numPr>
          <w:ilvl w:val="0"/>
          <w:numId w:val="3"/>
        </w:numPr>
        <w:contextualSpacing w:val="0"/>
        <w:rPr>
          <w:rFonts w:ascii="Lato" w:hAnsi="Lato" w:cs="Calibri"/>
          <w:b/>
          <w:sz w:val="22"/>
          <w:szCs w:val="22"/>
        </w:rPr>
      </w:pPr>
      <w:r w:rsidRPr="00E154F5">
        <w:rPr>
          <w:rFonts w:ascii="Lato" w:hAnsi="Lato" w:cs="Calibri"/>
          <w:b/>
          <w:sz w:val="22"/>
          <w:szCs w:val="22"/>
        </w:rPr>
        <w:t>Allocation policy</w:t>
      </w:r>
    </w:p>
    <w:p w14:paraId="0D415F8A" w14:textId="77777777" w:rsidR="00AD4234" w:rsidRPr="00E154F5" w:rsidRDefault="00AD4234" w:rsidP="00AD4234">
      <w:pPr>
        <w:pStyle w:val="ListParagraph"/>
        <w:ind w:left="0"/>
        <w:contextualSpacing w:val="0"/>
        <w:rPr>
          <w:rFonts w:ascii="Lato" w:hAnsi="Lato" w:cs="Calibri"/>
          <w:b/>
          <w:sz w:val="22"/>
          <w:szCs w:val="22"/>
        </w:rPr>
      </w:pPr>
    </w:p>
    <w:p w14:paraId="34B2A060" w14:textId="65573485" w:rsidR="00AC0196" w:rsidRPr="00E154F5" w:rsidRDefault="00AC0196" w:rsidP="00AC0196">
      <w:pPr>
        <w:jc w:val="both"/>
        <w:rPr>
          <w:rFonts w:ascii="Lato" w:hAnsi="Lato" w:cs="Calibri"/>
        </w:rPr>
      </w:pPr>
      <w:r w:rsidRPr="00E154F5">
        <w:rPr>
          <w:rFonts w:ascii="Lato" w:hAnsi="Lato" w:cs="Calibri"/>
        </w:rPr>
        <w:t xml:space="preserve">All other aspects of the allocation process will be </w:t>
      </w:r>
      <w:r w:rsidR="004054DF" w:rsidRPr="00E154F5">
        <w:rPr>
          <w:rFonts w:ascii="Lato" w:hAnsi="Lato" w:cs="Calibri"/>
        </w:rPr>
        <w:t>conducted</w:t>
      </w:r>
      <w:r w:rsidRPr="00E154F5">
        <w:rPr>
          <w:rFonts w:ascii="Lato" w:hAnsi="Lato" w:cs="Calibri"/>
        </w:rPr>
        <w:t xml:space="preserve"> in accordance with the Property Pool Plus Housing Allocations Scheme Procedure and </w:t>
      </w:r>
      <w:r w:rsidR="00EE24A2" w:rsidRPr="00E154F5">
        <w:rPr>
          <w:rFonts w:ascii="Lato" w:hAnsi="Lato" w:cs="Calibri"/>
        </w:rPr>
        <w:t>Prima</w:t>
      </w:r>
      <w:r w:rsidR="00066DA9">
        <w:rPr>
          <w:rFonts w:ascii="Lato" w:hAnsi="Lato" w:cs="Calibri"/>
        </w:rPr>
        <w:t>’</w:t>
      </w:r>
      <w:r w:rsidR="00EE24A2" w:rsidRPr="00E154F5">
        <w:rPr>
          <w:rFonts w:ascii="Lato" w:hAnsi="Lato" w:cs="Calibri"/>
        </w:rPr>
        <w:t>s</w:t>
      </w:r>
      <w:r w:rsidRPr="00E154F5">
        <w:rPr>
          <w:rFonts w:ascii="Lato" w:hAnsi="Lato" w:cs="Calibri"/>
        </w:rPr>
        <w:t xml:space="preserve"> Lettings and Allocation Policy. </w:t>
      </w:r>
    </w:p>
    <w:p w14:paraId="12BBB1FA" w14:textId="55B14B41" w:rsidR="00C90140" w:rsidRDefault="00AC0196" w:rsidP="00C90140">
      <w:pPr>
        <w:jc w:val="both"/>
        <w:rPr>
          <w:rFonts w:ascii="Lato" w:hAnsi="Lato" w:cs="Calibri"/>
        </w:rPr>
      </w:pPr>
      <w:r w:rsidRPr="00E154F5">
        <w:rPr>
          <w:rFonts w:ascii="Lato" w:hAnsi="Lato" w:cs="Calibri"/>
        </w:rPr>
        <w:t xml:space="preserve">This LLP </w:t>
      </w:r>
      <w:r w:rsidR="00C90140">
        <w:rPr>
          <w:rFonts w:ascii="Lato" w:hAnsi="Lato" w:cs="Calibri"/>
        </w:rPr>
        <w:t xml:space="preserve">will remain in place for all future lets, unless changed following review by Prima </w:t>
      </w:r>
      <w:r w:rsidRPr="00E154F5">
        <w:rPr>
          <w:rFonts w:ascii="Lato" w:hAnsi="Lato" w:cs="Calibri"/>
        </w:rPr>
        <w:t xml:space="preserve">Housing </w:t>
      </w:r>
      <w:r w:rsidR="00C90140">
        <w:rPr>
          <w:rFonts w:ascii="Lato" w:hAnsi="Lato" w:cs="Calibri"/>
        </w:rPr>
        <w:t xml:space="preserve">and Knowsley </w:t>
      </w:r>
      <w:r w:rsidR="00A469A2">
        <w:rPr>
          <w:rFonts w:ascii="Lato" w:hAnsi="Lato" w:cs="Calibri"/>
        </w:rPr>
        <w:t xml:space="preserve">Metropolitan </w:t>
      </w:r>
      <w:r w:rsidR="00C90140">
        <w:rPr>
          <w:rFonts w:ascii="Lato" w:hAnsi="Lato" w:cs="Calibri"/>
        </w:rPr>
        <w:t>Borough Council</w:t>
      </w:r>
      <w:r w:rsidR="00166515">
        <w:rPr>
          <w:rFonts w:ascii="Lato" w:hAnsi="Lato" w:cs="Calibri"/>
        </w:rPr>
        <w:t>.</w:t>
      </w:r>
    </w:p>
    <w:p w14:paraId="722621FB" w14:textId="511E63AA" w:rsidR="00AC0196" w:rsidRPr="009A4A62" w:rsidRDefault="00AC0196" w:rsidP="00AD4234">
      <w:pPr>
        <w:pStyle w:val="ListParagraph"/>
        <w:numPr>
          <w:ilvl w:val="0"/>
          <w:numId w:val="3"/>
        </w:numPr>
        <w:jc w:val="both"/>
        <w:rPr>
          <w:rFonts w:ascii="Lato" w:hAnsi="Lato" w:cs="Arial"/>
          <w:b/>
          <w:bCs/>
          <w:sz w:val="22"/>
          <w:szCs w:val="22"/>
        </w:rPr>
      </w:pPr>
      <w:r w:rsidRPr="00E66C3F">
        <w:rPr>
          <w:rFonts w:ascii="Lato" w:hAnsi="Lato" w:cs="Arial"/>
          <w:b/>
          <w:bCs/>
          <w:sz w:val="22"/>
          <w:szCs w:val="22"/>
        </w:rPr>
        <w:t xml:space="preserve">Equality and Diversity </w:t>
      </w:r>
    </w:p>
    <w:p w14:paraId="7DB837E4" w14:textId="77777777" w:rsidR="00AD4234" w:rsidRPr="009A4A62" w:rsidRDefault="00AD4234" w:rsidP="00847198">
      <w:pPr>
        <w:pStyle w:val="ListParagraph"/>
        <w:ind w:left="0"/>
        <w:jc w:val="both"/>
        <w:rPr>
          <w:rFonts w:ascii="Lato" w:hAnsi="Lato" w:cs="Calibri"/>
          <w:b/>
          <w:bCs/>
        </w:rPr>
      </w:pPr>
    </w:p>
    <w:p w14:paraId="652AD8EF" w14:textId="3E35BECD" w:rsidR="00AC0196" w:rsidRPr="00E154F5" w:rsidRDefault="00475DAB" w:rsidP="00E154F5">
      <w:pPr>
        <w:jc w:val="both"/>
        <w:rPr>
          <w:rFonts w:ascii="Lato" w:hAnsi="Lato" w:cs="Calibri"/>
        </w:rPr>
      </w:pPr>
      <w:r w:rsidRPr="00E154F5">
        <w:rPr>
          <w:rFonts w:ascii="Lato" w:hAnsi="Lato" w:cs="Calibri"/>
        </w:rPr>
        <w:t>Prima Group</w:t>
      </w:r>
      <w:r w:rsidR="00AC0196" w:rsidRPr="00E154F5">
        <w:rPr>
          <w:rFonts w:ascii="Lato" w:hAnsi="Lato" w:cs="Calibri"/>
        </w:rPr>
        <w:t xml:space="preserve"> will only participate in allocations schemes that are compliant with the Equality Act </w:t>
      </w:r>
      <w:r w:rsidR="00D077C1" w:rsidRPr="00E154F5">
        <w:rPr>
          <w:rFonts w:ascii="Lato" w:hAnsi="Lato" w:cs="Calibri"/>
        </w:rPr>
        <w:t>2010,</w:t>
      </w:r>
      <w:r w:rsidR="00AC0196" w:rsidRPr="00E154F5">
        <w:rPr>
          <w:rFonts w:ascii="Lato" w:hAnsi="Lato" w:cs="Calibri"/>
        </w:rPr>
        <w:t xml:space="preserve"> and which offer equality of access to services for all applicants. </w:t>
      </w:r>
    </w:p>
    <w:p w14:paraId="37D136D2" w14:textId="4C24A072" w:rsidR="00AC0196" w:rsidRPr="00E154F5" w:rsidRDefault="00AC0196" w:rsidP="00AC0196">
      <w:pPr>
        <w:pStyle w:val="ListParagraph"/>
        <w:ind w:left="0"/>
        <w:jc w:val="both"/>
        <w:rPr>
          <w:rFonts w:ascii="Lato" w:hAnsi="Lato" w:cs="Calibri"/>
          <w:sz w:val="22"/>
          <w:szCs w:val="22"/>
        </w:rPr>
      </w:pPr>
      <w:r w:rsidRPr="00E154F5">
        <w:rPr>
          <w:rFonts w:ascii="Lato" w:hAnsi="Lato" w:cs="Calibri"/>
          <w:sz w:val="22"/>
          <w:szCs w:val="22"/>
        </w:rPr>
        <w:t>Choice Based Lettings schemes we participate in are equality impact assessed, and individual /internal policies are also impact assessed, in line with equality of access for applicants and any adverse/ positive impacts of those policies on our customers.</w:t>
      </w:r>
    </w:p>
    <w:p w14:paraId="7030E2A3" w14:textId="77777777" w:rsidR="00AC0196" w:rsidRPr="00E154F5" w:rsidRDefault="00AC0196" w:rsidP="00AC0196">
      <w:pPr>
        <w:pStyle w:val="ListParagraph"/>
        <w:ind w:left="0"/>
        <w:rPr>
          <w:rFonts w:ascii="Lato" w:hAnsi="Lato" w:cs="Calibri"/>
          <w:sz w:val="22"/>
          <w:szCs w:val="22"/>
        </w:rPr>
      </w:pPr>
    </w:p>
    <w:p w14:paraId="5D717378" w14:textId="2C79DF97" w:rsidR="006C07A0" w:rsidRPr="00847198" w:rsidRDefault="00AC0196" w:rsidP="00847198">
      <w:pPr>
        <w:jc w:val="both"/>
        <w:rPr>
          <w:rFonts w:ascii="Lato" w:hAnsi="Lato" w:cs="Calibri"/>
          <w:lang w:eastAsia="en-GB"/>
        </w:rPr>
      </w:pPr>
      <w:r w:rsidRPr="003406F9">
        <w:rPr>
          <w:rFonts w:ascii="Lato" w:hAnsi="Lato" w:cs="Calibri"/>
        </w:rPr>
        <w:t xml:space="preserve">In line with </w:t>
      </w:r>
      <w:r w:rsidR="00E154F5" w:rsidRPr="003406F9">
        <w:rPr>
          <w:rFonts w:ascii="Lato" w:hAnsi="Lato" w:cs="Calibri"/>
        </w:rPr>
        <w:t>Prima Group</w:t>
      </w:r>
      <w:r w:rsidR="007A0C13">
        <w:rPr>
          <w:rFonts w:ascii="Lato" w:hAnsi="Lato" w:cs="Calibri"/>
        </w:rPr>
        <w:t>’</w:t>
      </w:r>
      <w:r w:rsidR="00E154F5" w:rsidRPr="003406F9">
        <w:rPr>
          <w:rFonts w:ascii="Lato" w:hAnsi="Lato" w:cs="Calibri"/>
        </w:rPr>
        <w:t xml:space="preserve">s </w:t>
      </w:r>
      <w:r w:rsidRPr="003406F9">
        <w:rPr>
          <w:rFonts w:ascii="Lato" w:hAnsi="Lato" w:cs="Calibri"/>
        </w:rPr>
        <w:t xml:space="preserve">Equality, Diversity, and Inclusion Statement we assess our policies and have completed an Equality Impact Assessment in relation to </w:t>
      </w:r>
      <w:r w:rsidR="00E154F5" w:rsidRPr="003406F9">
        <w:rPr>
          <w:rFonts w:ascii="Lato" w:hAnsi="Lato" w:cs="Calibri"/>
        </w:rPr>
        <w:t xml:space="preserve">Dinas Lane </w:t>
      </w:r>
      <w:r w:rsidRPr="003406F9">
        <w:rPr>
          <w:rFonts w:ascii="Lato" w:hAnsi="Lato" w:cs="Calibri"/>
        </w:rPr>
        <w:t xml:space="preserve">which is attached in Appendix A. The impact of this LLP has identified no or low impacts for any protected groups of people. </w:t>
      </w:r>
      <w:r w:rsidRPr="003406F9">
        <w:rPr>
          <w:rFonts w:ascii="Lato" w:hAnsi="Lato" w:cs="Calibri"/>
          <w:lang w:eastAsia="en-GB"/>
        </w:rPr>
        <w:t xml:space="preserve">Where it has been identified that this policy may have negative equality impacts, </w:t>
      </w:r>
      <w:r w:rsidR="00E154F5" w:rsidRPr="003406F9">
        <w:rPr>
          <w:rFonts w:ascii="Lato" w:hAnsi="Lato" w:cs="Calibri"/>
          <w:lang w:eastAsia="en-GB"/>
        </w:rPr>
        <w:t>Prima Group</w:t>
      </w:r>
      <w:r w:rsidRPr="003406F9">
        <w:rPr>
          <w:rFonts w:ascii="Lato" w:hAnsi="Lato" w:cs="Calibri"/>
          <w:lang w:eastAsia="en-GB"/>
        </w:rPr>
        <w:t xml:space="preserve"> have taken proactive steps to mitigate any potential negative impacts.</w:t>
      </w:r>
    </w:p>
    <w:sectPr w:rsidR="006C07A0" w:rsidRPr="00847198" w:rsidSect="00AC01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AD5B7" w14:textId="77777777" w:rsidR="00C470EE" w:rsidRDefault="00C470EE">
      <w:r>
        <w:separator/>
      </w:r>
    </w:p>
  </w:endnote>
  <w:endnote w:type="continuationSeparator" w:id="0">
    <w:p w14:paraId="641C670D" w14:textId="77777777" w:rsidR="00C470EE" w:rsidRDefault="00C4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22CA4" w14:textId="77777777" w:rsidR="00C470EE" w:rsidRDefault="00C470EE">
      <w:r>
        <w:separator/>
      </w:r>
    </w:p>
  </w:footnote>
  <w:footnote w:type="continuationSeparator" w:id="0">
    <w:p w14:paraId="0BFC07D3" w14:textId="77777777" w:rsidR="00C470EE" w:rsidRDefault="00C47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94EB0"/>
    <w:multiLevelType w:val="hybridMultilevel"/>
    <w:tmpl w:val="DB0C1D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AE2A0F"/>
    <w:multiLevelType w:val="hybridMultilevel"/>
    <w:tmpl w:val="5CC2DFE8"/>
    <w:lvl w:ilvl="0" w:tplc="63EAA2B4">
      <w:start w:val="4"/>
      <w:numFmt w:val="decimal"/>
      <w:lvlText w:val="%1."/>
      <w:lvlJc w:val="left"/>
      <w:pPr>
        <w:ind w:left="0" w:hanging="360"/>
      </w:pPr>
      <w:rPr>
        <w:rFonts w:hint="default"/>
        <w:b/>
        <w:bCs/>
        <w:sz w:val="22"/>
        <w:szCs w:val="22"/>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3867015A"/>
    <w:multiLevelType w:val="hybridMultilevel"/>
    <w:tmpl w:val="314226CA"/>
    <w:lvl w:ilvl="0" w:tplc="5B427CCA">
      <w:start w:val="1"/>
      <w:numFmt w:val="decimal"/>
      <w:lvlText w:val="%1."/>
      <w:lvlJc w:val="left"/>
      <w:pPr>
        <w:ind w:left="360" w:hanging="360"/>
      </w:pPr>
      <w:rPr>
        <w:b w:val="0"/>
        <w:i w:val="0"/>
        <w:color w:val="1F3864" w:themeColor="accent1" w:themeShade="8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E550D54"/>
    <w:multiLevelType w:val="hybridMultilevel"/>
    <w:tmpl w:val="205A893C"/>
    <w:lvl w:ilvl="0" w:tplc="981AA360">
      <w:start w:val="1"/>
      <w:numFmt w:val="decimal"/>
      <w:lvlText w:val="%1."/>
      <w:lvlJc w:val="left"/>
      <w:pPr>
        <w:tabs>
          <w:tab w:val="num" w:pos="360"/>
        </w:tabs>
        <w:ind w:left="360" w:hanging="72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674693202">
    <w:abstractNumId w:val="0"/>
  </w:num>
  <w:num w:numId="2" w16cid:durableId="1876311785">
    <w:abstractNumId w:val="3"/>
  </w:num>
  <w:num w:numId="3" w16cid:durableId="671495892">
    <w:abstractNumId w:val="1"/>
  </w:num>
  <w:num w:numId="4" w16cid:durableId="1143234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D9"/>
    <w:rsid w:val="00005D3C"/>
    <w:rsid w:val="0001432C"/>
    <w:rsid w:val="00030E52"/>
    <w:rsid w:val="00031E79"/>
    <w:rsid w:val="00034DD8"/>
    <w:rsid w:val="0005480E"/>
    <w:rsid w:val="00061022"/>
    <w:rsid w:val="00065A62"/>
    <w:rsid w:val="00066DA9"/>
    <w:rsid w:val="000739B2"/>
    <w:rsid w:val="00074F01"/>
    <w:rsid w:val="000765BD"/>
    <w:rsid w:val="000854F0"/>
    <w:rsid w:val="00086246"/>
    <w:rsid w:val="00086A95"/>
    <w:rsid w:val="000901AE"/>
    <w:rsid w:val="0009130B"/>
    <w:rsid w:val="00091BD6"/>
    <w:rsid w:val="000929E7"/>
    <w:rsid w:val="000954E1"/>
    <w:rsid w:val="000A1BEE"/>
    <w:rsid w:val="000A61E8"/>
    <w:rsid w:val="000B0349"/>
    <w:rsid w:val="000B0C16"/>
    <w:rsid w:val="000B3D97"/>
    <w:rsid w:val="000C1A0A"/>
    <w:rsid w:val="000C1FDC"/>
    <w:rsid w:val="000F2C07"/>
    <w:rsid w:val="000F438E"/>
    <w:rsid w:val="0010711D"/>
    <w:rsid w:val="00112208"/>
    <w:rsid w:val="0011500B"/>
    <w:rsid w:val="00116097"/>
    <w:rsid w:val="00117EC2"/>
    <w:rsid w:val="00123526"/>
    <w:rsid w:val="001263F8"/>
    <w:rsid w:val="00134BDA"/>
    <w:rsid w:val="00137C07"/>
    <w:rsid w:val="00140EAF"/>
    <w:rsid w:val="0014574C"/>
    <w:rsid w:val="00156439"/>
    <w:rsid w:val="00166515"/>
    <w:rsid w:val="00182E32"/>
    <w:rsid w:val="001864CB"/>
    <w:rsid w:val="00192056"/>
    <w:rsid w:val="001B0F94"/>
    <w:rsid w:val="001C1980"/>
    <w:rsid w:val="001C199B"/>
    <w:rsid w:val="001C1C4A"/>
    <w:rsid w:val="001C432F"/>
    <w:rsid w:val="001D2735"/>
    <w:rsid w:val="001F0F16"/>
    <w:rsid w:val="00216A33"/>
    <w:rsid w:val="002177E0"/>
    <w:rsid w:val="002366E0"/>
    <w:rsid w:val="0024494A"/>
    <w:rsid w:val="0024543B"/>
    <w:rsid w:val="00247C6F"/>
    <w:rsid w:val="00254B09"/>
    <w:rsid w:val="00280F94"/>
    <w:rsid w:val="002A2DB1"/>
    <w:rsid w:val="002A5EE1"/>
    <w:rsid w:val="002A7D02"/>
    <w:rsid w:val="002B455F"/>
    <w:rsid w:val="002B4BF3"/>
    <w:rsid w:val="002C24A3"/>
    <w:rsid w:val="002C4994"/>
    <w:rsid w:val="002D3EDF"/>
    <w:rsid w:val="002E0366"/>
    <w:rsid w:val="002E1EAE"/>
    <w:rsid w:val="002E40B3"/>
    <w:rsid w:val="002F0ECF"/>
    <w:rsid w:val="00301592"/>
    <w:rsid w:val="00304854"/>
    <w:rsid w:val="003066A1"/>
    <w:rsid w:val="003068F9"/>
    <w:rsid w:val="00315503"/>
    <w:rsid w:val="0032698B"/>
    <w:rsid w:val="003406F9"/>
    <w:rsid w:val="00353776"/>
    <w:rsid w:val="00355124"/>
    <w:rsid w:val="003572DC"/>
    <w:rsid w:val="003708A0"/>
    <w:rsid w:val="003739DF"/>
    <w:rsid w:val="00375ACF"/>
    <w:rsid w:val="0038600F"/>
    <w:rsid w:val="003A04E0"/>
    <w:rsid w:val="003A64D7"/>
    <w:rsid w:val="003C07F4"/>
    <w:rsid w:val="003D3795"/>
    <w:rsid w:val="003E04D9"/>
    <w:rsid w:val="00403139"/>
    <w:rsid w:val="00404D8D"/>
    <w:rsid w:val="004054DF"/>
    <w:rsid w:val="00420A49"/>
    <w:rsid w:val="004218D9"/>
    <w:rsid w:val="00433961"/>
    <w:rsid w:val="0043410E"/>
    <w:rsid w:val="00440FB4"/>
    <w:rsid w:val="004417B9"/>
    <w:rsid w:val="0045325F"/>
    <w:rsid w:val="0046370B"/>
    <w:rsid w:val="00475DAB"/>
    <w:rsid w:val="0049006F"/>
    <w:rsid w:val="00490BC0"/>
    <w:rsid w:val="004A62EC"/>
    <w:rsid w:val="004B7071"/>
    <w:rsid w:val="004C38BD"/>
    <w:rsid w:val="004D04F0"/>
    <w:rsid w:val="004D503C"/>
    <w:rsid w:val="004E2B63"/>
    <w:rsid w:val="004F5311"/>
    <w:rsid w:val="004F5C4E"/>
    <w:rsid w:val="005120EF"/>
    <w:rsid w:val="005134C8"/>
    <w:rsid w:val="005143F8"/>
    <w:rsid w:val="0052331B"/>
    <w:rsid w:val="00546E4C"/>
    <w:rsid w:val="005553B0"/>
    <w:rsid w:val="0055564F"/>
    <w:rsid w:val="00555C0C"/>
    <w:rsid w:val="005604AE"/>
    <w:rsid w:val="0057122D"/>
    <w:rsid w:val="00573C87"/>
    <w:rsid w:val="005824D8"/>
    <w:rsid w:val="00586413"/>
    <w:rsid w:val="005933BC"/>
    <w:rsid w:val="0059603B"/>
    <w:rsid w:val="005960B9"/>
    <w:rsid w:val="0059765F"/>
    <w:rsid w:val="005A6097"/>
    <w:rsid w:val="005A7A26"/>
    <w:rsid w:val="005B2772"/>
    <w:rsid w:val="005B3F22"/>
    <w:rsid w:val="005D254C"/>
    <w:rsid w:val="005D3086"/>
    <w:rsid w:val="00600384"/>
    <w:rsid w:val="00602285"/>
    <w:rsid w:val="0061132F"/>
    <w:rsid w:val="00623978"/>
    <w:rsid w:val="00655709"/>
    <w:rsid w:val="0066514A"/>
    <w:rsid w:val="006744C7"/>
    <w:rsid w:val="00691EFA"/>
    <w:rsid w:val="006B58A5"/>
    <w:rsid w:val="006B74B2"/>
    <w:rsid w:val="006C03AA"/>
    <w:rsid w:val="006C07A0"/>
    <w:rsid w:val="006C3D9D"/>
    <w:rsid w:val="006E4039"/>
    <w:rsid w:val="006F1359"/>
    <w:rsid w:val="006F71C7"/>
    <w:rsid w:val="00705EDE"/>
    <w:rsid w:val="007163C9"/>
    <w:rsid w:val="007248F7"/>
    <w:rsid w:val="00734357"/>
    <w:rsid w:val="00745081"/>
    <w:rsid w:val="00755A8B"/>
    <w:rsid w:val="007627B2"/>
    <w:rsid w:val="007707DF"/>
    <w:rsid w:val="00773E1B"/>
    <w:rsid w:val="0079228C"/>
    <w:rsid w:val="00795812"/>
    <w:rsid w:val="007A068F"/>
    <w:rsid w:val="007A0C13"/>
    <w:rsid w:val="007A2FD6"/>
    <w:rsid w:val="007A449B"/>
    <w:rsid w:val="007B2C05"/>
    <w:rsid w:val="007C54F6"/>
    <w:rsid w:val="007D1A5D"/>
    <w:rsid w:val="007D2879"/>
    <w:rsid w:val="007D4E1C"/>
    <w:rsid w:val="007D778E"/>
    <w:rsid w:val="007E3F17"/>
    <w:rsid w:val="007F2EDF"/>
    <w:rsid w:val="008254A6"/>
    <w:rsid w:val="008264F7"/>
    <w:rsid w:val="00832863"/>
    <w:rsid w:val="00847198"/>
    <w:rsid w:val="00854871"/>
    <w:rsid w:val="008877F5"/>
    <w:rsid w:val="008B0A0F"/>
    <w:rsid w:val="008B1FBB"/>
    <w:rsid w:val="008B4992"/>
    <w:rsid w:val="008E3AB9"/>
    <w:rsid w:val="009137BD"/>
    <w:rsid w:val="00926240"/>
    <w:rsid w:val="00931323"/>
    <w:rsid w:val="009569F9"/>
    <w:rsid w:val="00962EB4"/>
    <w:rsid w:val="00982725"/>
    <w:rsid w:val="00993D6E"/>
    <w:rsid w:val="009A1BE2"/>
    <w:rsid w:val="009A4A62"/>
    <w:rsid w:val="009A5961"/>
    <w:rsid w:val="009B63AC"/>
    <w:rsid w:val="009C4292"/>
    <w:rsid w:val="009D1E3B"/>
    <w:rsid w:val="00A2132B"/>
    <w:rsid w:val="00A443BE"/>
    <w:rsid w:val="00A469A2"/>
    <w:rsid w:val="00A4710F"/>
    <w:rsid w:val="00A733E0"/>
    <w:rsid w:val="00A750FF"/>
    <w:rsid w:val="00A904CE"/>
    <w:rsid w:val="00A94FE6"/>
    <w:rsid w:val="00AA117D"/>
    <w:rsid w:val="00AB7A44"/>
    <w:rsid w:val="00AC0196"/>
    <w:rsid w:val="00AC4B3B"/>
    <w:rsid w:val="00AD4234"/>
    <w:rsid w:val="00B0283D"/>
    <w:rsid w:val="00B05EB7"/>
    <w:rsid w:val="00B135CB"/>
    <w:rsid w:val="00B1668C"/>
    <w:rsid w:val="00B226F9"/>
    <w:rsid w:val="00B23237"/>
    <w:rsid w:val="00B313AF"/>
    <w:rsid w:val="00B34F6E"/>
    <w:rsid w:val="00B52A89"/>
    <w:rsid w:val="00B74085"/>
    <w:rsid w:val="00B9006D"/>
    <w:rsid w:val="00B94705"/>
    <w:rsid w:val="00B94A3C"/>
    <w:rsid w:val="00BA3205"/>
    <w:rsid w:val="00BD0F24"/>
    <w:rsid w:val="00BE358C"/>
    <w:rsid w:val="00BF1DCA"/>
    <w:rsid w:val="00BF2CCB"/>
    <w:rsid w:val="00BF651F"/>
    <w:rsid w:val="00C330AF"/>
    <w:rsid w:val="00C3722F"/>
    <w:rsid w:val="00C432D6"/>
    <w:rsid w:val="00C470EE"/>
    <w:rsid w:val="00C47254"/>
    <w:rsid w:val="00C504E2"/>
    <w:rsid w:val="00C51DA0"/>
    <w:rsid w:val="00C613BC"/>
    <w:rsid w:val="00C75B0D"/>
    <w:rsid w:val="00C824C3"/>
    <w:rsid w:val="00C8788B"/>
    <w:rsid w:val="00C90140"/>
    <w:rsid w:val="00C922E3"/>
    <w:rsid w:val="00C944A3"/>
    <w:rsid w:val="00CA58E6"/>
    <w:rsid w:val="00CA64D1"/>
    <w:rsid w:val="00CB1981"/>
    <w:rsid w:val="00CB2519"/>
    <w:rsid w:val="00CB7F41"/>
    <w:rsid w:val="00CC03B4"/>
    <w:rsid w:val="00CC6C98"/>
    <w:rsid w:val="00CD6A08"/>
    <w:rsid w:val="00CD7941"/>
    <w:rsid w:val="00CE12AB"/>
    <w:rsid w:val="00CE3117"/>
    <w:rsid w:val="00CF5813"/>
    <w:rsid w:val="00CF5F34"/>
    <w:rsid w:val="00D0342B"/>
    <w:rsid w:val="00D077C1"/>
    <w:rsid w:val="00D1167A"/>
    <w:rsid w:val="00D16882"/>
    <w:rsid w:val="00D21408"/>
    <w:rsid w:val="00D21AAB"/>
    <w:rsid w:val="00D21BD4"/>
    <w:rsid w:val="00D25955"/>
    <w:rsid w:val="00D51187"/>
    <w:rsid w:val="00D53198"/>
    <w:rsid w:val="00D60398"/>
    <w:rsid w:val="00D66D04"/>
    <w:rsid w:val="00D721BC"/>
    <w:rsid w:val="00D752B8"/>
    <w:rsid w:val="00D85441"/>
    <w:rsid w:val="00D87633"/>
    <w:rsid w:val="00D87BB8"/>
    <w:rsid w:val="00D91273"/>
    <w:rsid w:val="00DA1859"/>
    <w:rsid w:val="00DA6017"/>
    <w:rsid w:val="00DE3D15"/>
    <w:rsid w:val="00E154F5"/>
    <w:rsid w:val="00E44A3F"/>
    <w:rsid w:val="00E66C3F"/>
    <w:rsid w:val="00E71525"/>
    <w:rsid w:val="00E774D5"/>
    <w:rsid w:val="00E8775D"/>
    <w:rsid w:val="00EC203C"/>
    <w:rsid w:val="00ED0ACB"/>
    <w:rsid w:val="00EE0FF6"/>
    <w:rsid w:val="00EE24A2"/>
    <w:rsid w:val="00F01796"/>
    <w:rsid w:val="00F020DF"/>
    <w:rsid w:val="00F12329"/>
    <w:rsid w:val="00F20247"/>
    <w:rsid w:val="00F2161B"/>
    <w:rsid w:val="00F35A32"/>
    <w:rsid w:val="00F360AD"/>
    <w:rsid w:val="00F414C6"/>
    <w:rsid w:val="00F43C64"/>
    <w:rsid w:val="00F62DD4"/>
    <w:rsid w:val="00F8595D"/>
    <w:rsid w:val="00F87C04"/>
    <w:rsid w:val="00F930B7"/>
    <w:rsid w:val="00F9679F"/>
    <w:rsid w:val="00F97E9E"/>
    <w:rsid w:val="00FA337F"/>
    <w:rsid w:val="00FA36CB"/>
    <w:rsid w:val="00FB4BFC"/>
    <w:rsid w:val="00FD7B38"/>
    <w:rsid w:val="00FF6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94602"/>
  <w15:chartTrackingRefBased/>
  <w15:docId w15:val="{EE3D9531-DB81-48DA-BD1D-E46FCDDE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5BD"/>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E04D9"/>
    <w:pPr>
      <w:spacing w:after="0" w:line="240" w:lineRule="auto"/>
    </w:pPr>
    <w:rPr>
      <w:rFonts w:ascii="Tahoma" w:hAnsi="Tahoma" w:cs="Tahoma"/>
      <w:sz w:val="16"/>
      <w:szCs w:val="16"/>
    </w:rPr>
  </w:style>
  <w:style w:type="character" w:customStyle="1" w:styleId="BalloonTextChar">
    <w:name w:val="Balloon Text Char"/>
    <w:link w:val="BalloonText"/>
    <w:semiHidden/>
    <w:locked/>
    <w:rsid w:val="003E04D9"/>
    <w:rPr>
      <w:rFonts w:ascii="Tahoma" w:hAnsi="Tahoma" w:cs="Tahoma"/>
      <w:sz w:val="16"/>
      <w:szCs w:val="16"/>
    </w:rPr>
  </w:style>
  <w:style w:type="table" w:styleId="TableGrid">
    <w:name w:val="Table Grid"/>
    <w:basedOn w:val="TableNormal"/>
    <w:uiPriority w:val="39"/>
    <w:rsid w:val="003E04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rsid w:val="00982725"/>
    <w:pPr>
      <w:tabs>
        <w:tab w:val="center" w:pos="4153"/>
        <w:tab w:val="right" w:pos="8306"/>
      </w:tabs>
    </w:pPr>
  </w:style>
  <w:style w:type="paragraph" w:styleId="Footer">
    <w:name w:val="footer"/>
    <w:basedOn w:val="Normal"/>
    <w:rsid w:val="00982725"/>
    <w:pPr>
      <w:tabs>
        <w:tab w:val="center" w:pos="4153"/>
        <w:tab w:val="right" w:pos="8306"/>
      </w:tabs>
    </w:pPr>
  </w:style>
  <w:style w:type="paragraph" w:styleId="ListParagraph">
    <w:name w:val="List Paragraph"/>
    <w:basedOn w:val="Normal"/>
    <w:uiPriority w:val="34"/>
    <w:qFormat/>
    <w:rsid w:val="00AC0196"/>
    <w:pPr>
      <w:spacing w:after="0" w:line="240" w:lineRule="auto"/>
      <w:ind w:left="720"/>
      <w:contextualSpacing/>
    </w:pPr>
    <w:rPr>
      <w:rFonts w:ascii="Times New Roman" w:hAnsi="Times New Roman"/>
      <w:sz w:val="20"/>
      <w:szCs w:val="20"/>
    </w:rPr>
  </w:style>
  <w:style w:type="paragraph" w:styleId="NoSpacing">
    <w:name w:val="No Spacing"/>
    <w:uiPriority w:val="1"/>
    <w:qFormat/>
    <w:rsid w:val="00AC0196"/>
    <w:rPr>
      <w:rFonts w:ascii="Times New Roman" w:eastAsia="Times New Roman" w:hAnsi="Times New Roman"/>
      <w:sz w:val="24"/>
      <w:szCs w:val="24"/>
    </w:rPr>
  </w:style>
  <w:style w:type="character" w:customStyle="1" w:styleId="cf01">
    <w:name w:val="cf01"/>
    <w:basedOn w:val="DefaultParagraphFont"/>
    <w:rsid w:val="00AC0196"/>
    <w:rPr>
      <w:rFonts w:ascii="Segoe UI" w:hAnsi="Segoe UI" w:cs="Segoe UI" w:hint="default"/>
      <w:sz w:val="18"/>
      <w:szCs w:val="18"/>
    </w:rPr>
  </w:style>
  <w:style w:type="character" w:customStyle="1" w:styleId="normaltextrun">
    <w:name w:val="normaltextrun"/>
    <w:basedOn w:val="DefaultParagraphFont"/>
    <w:rsid w:val="00AC0196"/>
  </w:style>
  <w:style w:type="character" w:customStyle="1" w:styleId="eop">
    <w:name w:val="eop"/>
    <w:basedOn w:val="DefaultParagraphFont"/>
    <w:rsid w:val="00AC0196"/>
  </w:style>
  <w:style w:type="paragraph" w:customStyle="1" w:styleId="TableParagraph">
    <w:name w:val="Table Paragraph"/>
    <w:basedOn w:val="Normal"/>
    <w:uiPriority w:val="1"/>
    <w:qFormat/>
    <w:rsid w:val="00AC0196"/>
    <w:pPr>
      <w:widowControl w:val="0"/>
      <w:autoSpaceDE w:val="0"/>
      <w:autoSpaceDN w:val="0"/>
      <w:spacing w:after="0" w:line="240" w:lineRule="auto"/>
    </w:pPr>
    <w:rPr>
      <w:rFonts w:eastAsia="Calibri" w:cs="Calibri"/>
      <w:lang w:eastAsia="en-GB" w:bidi="en-GB"/>
    </w:rPr>
  </w:style>
  <w:style w:type="paragraph" w:styleId="Revision">
    <w:name w:val="Revision"/>
    <w:hidden/>
    <w:uiPriority w:val="99"/>
    <w:semiHidden/>
    <w:rsid w:val="00B94A3C"/>
    <w:rPr>
      <w:rFonts w:eastAsia="Times New Roman"/>
      <w:sz w:val="22"/>
      <w:szCs w:val="22"/>
      <w:lang w:eastAsia="en-US"/>
    </w:rPr>
  </w:style>
  <w:style w:type="character" w:styleId="CommentReference">
    <w:name w:val="annotation reference"/>
    <w:basedOn w:val="DefaultParagraphFont"/>
    <w:rsid w:val="00B94A3C"/>
    <w:rPr>
      <w:sz w:val="16"/>
      <w:szCs w:val="16"/>
    </w:rPr>
  </w:style>
  <w:style w:type="paragraph" w:styleId="CommentText">
    <w:name w:val="annotation text"/>
    <w:basedOn w:val="Normal"/>
    <w:link w:val="CommentTextChar"/>
    <w:rsid w:val="00B94A3C"/>
    <w:pPr>
      <w:spacing w:line="240" w:lineRule="auto"/>
    </w:pPr>
    <w:rPr>
      <w:sz w:val="20"/>
      <w:szCs w:val="20"/>
    </w:rPr>
  </w:style>
  <w:style w:type="character" w:customStyle="1" w:styleId="CommentTextChar">
    <w:name w:val="Comment Text Char"/>
    <w:basedOn w:val="DefaultParagraphFont"/>
    <w:link w:val="CommentText"/>
    <w:rsid w:val="00B94A3C"/>
    <w:rPr>
      <w:rFonts w:eastAsia="Times New Roman"/>
      <w:lang w:eastAsia="en-US"/>
    </w:rPr>
  </w:style>
  <w:style w:type="paragraph" w:styleId="CommentSubject">
    <w:name w:val="annotation subject"/>
    <w:basedOn w:val="CommentText"/>
    <w:next w:val="CommentText"/>
    <w:link w:val="CommentSubjectChar"/>
    <w:rsid w:val="00B94A3C"/>
    <w:rPr>
      <w:b/>
      <w:bCs/>
    </w:rPr>
  </w:style>
  <w:style w:type="character" w:customStyle="1" w:styleId="CommentSubjectChar">
    <w:name w:val="Comment Subject Char"/>
    <w:basedOn w:val="CommentTextChar"/>
    <w:link w:val="CommentSubject"/>
    <w:rsid w:val="00B94A3C"/>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757">
      <w:bodyDiv w:val="1"/>
      <w:marLeft w:val="0"/>
      <w:marRight w:val="0"/>
      <w:marTop w:val="0"/>
      <w:marBottom w:val="0"/>
      <w:divBdr>
        <w:top w:val="none" w:sz="0" w:space="0" w:color="auto"/>
        <w:left w:val="none" w:sz="0" w:space="0" w:color="auto"/>
        <w:bottom w:val="none" w:sz="0" w:space="0" w:color="auto"/>
        <w:right w:val="none" w:sz="0" w:space="0" w:color="auto"/>
      </w:divBdr>
    </w:div>
    <w:div w:id="715396405">
      <w:bodyDiv w:val="1"/>
      <w:marLeft w:val="0"/>
      <w:marRight w:val="0"/>
      <w:marTop w:val="0"/>
      <w:marBottom w:val="0"/>
      <w:divBdr>
        <w:top w:val="none" w:sz="0" w:space="0" w:color="auto"/>
        <w:left w:val="none" w:sz="0" w:space="0" w:color="auto"/>
        <w:bottom w:val="none" w:sz="0" w:space="0" w:color="auto"/>
        <w:right w:val="none" w:sz="0" w:space="0" w:color="auto"/>
      </w:divBdr>
    </w:div>
    <w:div w:id="1029451517">
      <w:bodyDiv w:val="1"/>
      <w:marLeft w:val="0"/>
      <w:marRight w:val="0"/>
      <w:marTop w:val="0"/>
      <w:marBottom w:val="0"/>
      <w:divBdr>
        <w:top w:val="none" w:sz="0" w:space="0" w:color="auto"/>
        <w:left w:val="none" w:sz="0" w:space="0" w:color="auto"/>
        <w:bottom w:val="none" w:sz="0" w:space="0" w:color="auto"/>
        <w:right w:val="none" w:sz="0" w:space="0" w:color="auto"/>
      </w:divBdr>
    </w:div>
    <w:div w:id="1704864589">
      <w:bodyDiv w:val="1"/>
      <w:marLeft w:val="0"/>
      <w:marRight w:val="0"/>
      <w:marTop w:val="0"/>
      <w:marBottom w:val="0"/>
      <w:divBdr>
        <w:top w:val="none" w:sz="0" w:space="0" w:color="auto"/>
        <w:left w:val="none" w:sz="0" w:space="0" w:color="auto"/>
        <w:bottom w:val="none" w:sz="0" w:space="0" w:color="auto"/>
        <w:right w:val="none" w:sz="0" w:space="0" w:color="auto"/>
      </w:divBdr>
    </w:div>
    <w:div w:id="206059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C10F49AD25B14289180F3B69D1C801" ma:contentTypeVersion="20" ma:contentTypeDescription="Create a new document." ma:contentTypeScope="" ma:versionID="93e7f64e194177e16a2a0303887b7072">
  <xsd:schema xmlns:xsd="http://www.w3.org/2001/XMLSchema" xmlns:xs="http://www.w3.org/2001/XMLSchema" xmlns:p="http://schemas.microsoft.com/office/2006/metadata/properties" xmlns:ns1="http://schemas.microsoft.com/sharepoint/v3" xmlns:ns3="a9e3bf2d-b1fe-422d-9b8b-60ce5d82310b" xmlns:ns4="e7874ccf-2e26-49ec-b6ac-8ea0b3c007d6" targetNamespace="http://schemas.microsoft.com/office/2006/metadata/properties" ma:root="true" ma:fieldsID="d1c7953e1cb42c07e06153d0ff26cb0f" ns1:_="" ns3:_="" ns4:_="">
    <xsd:import namespace="http://schemas.microsoft.com/sharepoint/v3"/>
    <xsd:import namespace="a9e3bf2d-b1fe-422d-9b8b-60ce5d82310b"/>
    <xsd:import namespace="e7874ccf-2e26-49ec-b6ac-8ea0b3c007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3bf2d-b1fe-422d-9b8b-60ce5d823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74ccf-2e26-49ec-b6ac-8ea0b3c007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9e3bf2d-b1fe-422d-9b8b-60ce5d82310b" xsi:nil="true"/>
  </documentManagement>
</p:properties>
</file>

<file path=customXml/itemProps1.xml><?xml version="1.0" encoding="utf-8"?>
<ds:datastoreItem xmlns:ds="http://schemas.openxmlformats.org/officeDocument/2006/customXml" ds:itemID="{A9D2962B-61B9-4872-8C68-B720B5BA2F4E}">
  <ds:schemaRefs>
    <ds:schemaRef ds:uri="http://schemas.microsoft.com/sharepoint/v3/contenttype/forms"/>
  </ds:schemaRefs>
</ds:datastoreItem>
</file>

<file path=customXml/itemProps2.xml><?xml version="1.0" encoding="utf-8"?>
<ds:datastoreItem xmlns:ds="http://schemas.openxmlformats.org/officeDocument/2006/customXml" ds:itemID="{881B403C-818A-4DB6-845D-4524A79C1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e3bf2d-b1fe-422d-9b8b-60ce5d82310b"/>
    <ds:schemaRef ds:uri="e7874ccf-2e26-49ec-b6ac-8ea0b3c00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04B57-75D8-46D7-879E-23D90E687E75}">
  <ds:schemaRefs>
    <ds:schemaRef ds:uri="http://schemas.microsoft.com/office/2006/metadata/properties"/>
    <ds:schemaRef ds:uri="http://schemas.microsoft.com/office/infopath/2007/PartnerControls"/>
    <ds:schemaRef ds:uri="http://schemas.microsoft.com/sharepoint/v3"/>
    <ds:schemaRef ds:uri="a9e3bf2d-b1fe-422d-9b8b-60ce5d82310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1807</Words>
  <Characters>9357</Characters>
  <Application>Microsoft Office Word</Application>
  <DocSecurity>4</DocSecurity>
  <Lines>77</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Sharron McGuinness</dc:creator>
  <cp:keywords/>
  <dc:description/>
  <cp:lastModifiedBy>Lowe, Ann</cp:lastModifiedBy>
  <cp:revision>2</cp:revision>
  <cp:lastPrinted>2011-07-06T14:35:00Z</cp:lastPrinted>
  <dcterms:created xsi:type="dcterms:W3CDTF">2025-03-20T07:50:00Z</dcterms:created>
  <dcterms:modified xsi:type="dcterms:W3CDTF">2025-03-20T07:50:00Z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0x01010032C10F49AD25B14289180F3B69D1C801</vt:lpwstr>
  </property>
</Properties>
</file>