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9C99" w14:textId="77777777" w:rsidR="00F42577" w:rsidRPr="00F42577" w:rsidRDefault="00F42577" w:rsidP="00F42577">
      <w:pPr>
        <w:autoSpaceDE w:val="0"/>
        <w:autoSpaceDN w:val="0"/>
        <w:adjustRightInd w:val="0"/>
        <w:rPr>
          <w:rFonts w:eastAsia="Times New Roman" w:cs="Arial"/>
          <w:b/>
          <w:sz w:val="28"/>
          <w:szCs w:val="28"/>
          <w:lang w:val="en-GB"/>
        </w:rPr>
      </w:pPr>
      <w:r w:rsidRPr="00F42577">
        <w:rPr>
          <w:rFonts w:ascii="Trebuchet MS" w:eastAsia="Times New Roman" w:hAnsi="Trebuchet MS" w:cs="Arial"/>
          <w:noProof/>
          <w:color w:val="C00000"/>
          <w:sz w:val="20"/>
          <w:szCs w:val="24"/>
          <w:lang w:val="en-GB" w:eastAsia="en-GB"/>
        </w:rPr>
        <w:drawing>
          <wp:anchor distT="0" distB="0" distL="114300" distR="114300" simplePos="0" relativeHeight="251658240" behindDoc="0" locked="0" layoutInCell="1" allowOverlap="1" wp14:anchorId="36981F81" wp14:editId="14F799C0">
            <wp:simplePos x="0" y="0"/>
            <wp:positionH relativeFrom="column">
              <wp:posOffset>4384675</wp:posOffset>
            </wp:positionH>
            <wp:positionV relativeFrom="paragraph">
              <wp:posOffset>257175</wp:posOffset>
            </wp:positionV>
            <wp:extent cx="1663700" cy="800100"/>
            <wp:effectExtent l="0" t="0" r="0" b="0"/>
            <wp:wrapTight wrapText="bothSides">
              <wp:wrapPolygon edited="0">
                <wp:start x="0" y="0"/>
                <wp:lineTo x="0" y="21086"/>
                <wp:lineTo x="21270" y="21086"/>
                <wp:lineTo x="21270" y="0"/>
                <wp:lineTo x="0" y="0"/>
              </wp:wrapPolygon>
            </wp:wrapTight>
            <wp:docPr id="2" name="Picture 2" descr="Cobal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balt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7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A5C32" w14:textId="77777777" w:rsidR="00F42577" w:rsidRPr="00F42577" w:rsidRDefault="00F42577" w:rsidP="00F42577">
      <w:pPr>
        <w:autoSpaceDE w:val="0"/>
        <w:autoSpaceDN w:val="0"/>
        <w:adjustRightInd w:val="0"/>
        <w:ind w:firstLine="720"/>
        <w:rPr>
          <w:rFonts w:ascii="Trebuchet MS" w:eastAsia="Times New Roman" w:hAnsi="Trebuchet MS" w:cs="Arial"/>
          <w:sz w:val="20"/>
          <w:szCs w:val="24"/>
          <w:lang w:val="en-GB"/>
        </w:rPr>
      </w:pPr>
    </w:p>
    <w:p w14:paraId="129FB000" w14:textId="77777777" w:rsidR="00F42577" w:rsidRDefault="00F42577" w:rsidP="00F42577">
      <w:pPr>
        <w:autoSpaceDE w:val="0"/>
        <w:autoSpaceDN w:val="0"/>
        <w:adjustRightInd w:val="0"/>
        <w:rPr>
          <w:rFonts w:ascii="Trebuchet MS" w:eastAsia="Times New Roman" w:hAnsi="Trebuchet MS" w:cs="Arial"/>
          <w:sz w:val="20"/>
          <w:szCs w:val="24"/>
          <w:lang w:val="en-GB"/>
        </w:rPr>
      </w:pPr>
    </w:p>
    <w:p w14:paraId="132FAE91" w14:textId="77777777" w:rsidR="00F42577" w:rsidRPr="00F42577" w:rsidRDefault="00F42577" w:rsidP="00F42577">
      <w:pPr>
        <w:rPr>
          <w:rFonts w:ascii="Trebuchet MS" w:eastAsia="Times New Roman" w:hAnsi="Trebuchet MS" w:cs="Arial"/>
          <w:sz w:val="20"/>
          <w:szCs w:val="24"/>
          <w:lang w:val="en-GB"/>
        </w:rPr>
      </w:pPr>
    </w:p>
    <w:p w14:paraId="2748BDDB" w14:textId="77777777" w:rsidR="00F42577" w:rsidRPr="00F42577" w:rsidRDefault="00F42577" w:rsidP="00F42577">
      <w:pPr>
        <w:rPr>
          <w:rFonts w:ascii="Trebuchet MS" w:eastAsia="Times New Roman" w:hAnsi="Trebuchet MS" w:cs="Arial"/>
          <w:sz w:val="20"/>
          <w:szCs w:val="24"/>
          <w:lang w:val="en-GB"/>
        </w:rPr>
      </w:pPr>
    </w:p>
    <w:p w14:paraId="2CA8317C" w14:textId="77777777" w:rsidR="00F42577" w:rsidRDefault="00F42577" w:rsidP="00F42577">
      <w:pPr>
        <w:autoSpaceDE w:val="0"/>
        <w:autoSpaceDN w:val="0"/>
        <w:adjustRightInd w:val="0"/>
        <w:rPr>
          <w:rFonts w:ascii="Trebuchet MS" w:eastAsia="Times New Roman" w:hAnsi="Trebuchet MS" w:cs="Arial"/>
          <w:sz w:val="20"/>
          <w:szCs w:val="24"/>
          <w:lang w:val="en-GB"/>
        </w:rPr>
      </w:pPr>
    </w:p>
    <w:p w14:paraId="4B7F1AFE" w14:textId="77777777" w:rsidR="00F42577" w:rsidRPr="00F42577" w:rsidRDefault="00F42577" w:rsidP="00F42577">
      <w:pPr>
        <w:rPr>
          <w:rFonts w:ascii="Trebuchet MS" w:eastAsia="Times New Roman" w:hAnsi="Trebuchet MS" w:cs="Arial"/>
          <w:sz w:val="20"/>
          <w:szCs w:val="24"/>
          <w:lang w:val="en-GB"/>
        </w:rPr>
      </w:pPr>
    </w:p>
    <w:p w14:paraId="663B5DE9" w14:textId="77777777" w:rsidR="00F42577" w:rsidRDefault="00F42577" w:rsidP="00F42577">
      <w:pPr>
        <w:autoSpaceDE w:val="0"/>
        <w:autoSpaceDN w:val="0"/>
        <w:adjustRightInd w:val="0"/>
        <w:rPr>
          <w:rFonts w:ascii="Trebuchet MS" w:eastAsia="Times New Roman" w:hAnsi="Trebuchet MS" w:cs="Arial"/>
          <w:sz w:val="20"/>
          <w:szCs w:val="24"/>
          <w:lang w:val="en-GB"/>
        </w:rPr>
      </w:pPr>
    </w:p>
    <w:p w14:paraId="0E8E931B" w14:textId="77777777" w:rsidR="00F42577" w:rsidRDefault="00F42577" w:rsidP="00F42577">
      <w:pPr>
        <w:autoSpaceDE w:val="0"/>
        <w:autoSpaceDN w:val="0"/>
        <w:adjustRightInd w:val="0"/>
        <w:rPr>
          <w:rFonts w:ascii="Trebuchet MS" w:eastAsia="Times New Roman" w:hAnsi="Trebuchet MS" w:cs="Arial"/>
          <w:sz w:val="20"/>
          <w:szCs w:val="24"/>
          <w:lang w:val="en-GB"/>
        </w:rPr>
      </w:pPr>
    </w:p>
    <w:p w14:paraId="0EAE3606" w14:textId="77777777" w:rsidR="00F42577" w:rsidRDefault="00F42577" w:rsidP="00F42577">
      <w:pPr>
        <w:tabs>
          <w:tab w:val="left" w:pos="1560"/>
        </w:tabs>
        <w:autoSpaceDE w:val="0"/>
        <w:autoSpaceDN w:val="0"/>
        <w:adjustRightInd w:val="0"/>
        <w:rPr>
          <w:rFonts w:ascii="Trebuchet MS" w:eastAsia="Times New Roman" w:hAnsi="Trebuchet MS" w:cs="Arial"/>
          <w:sz w:val="20"/>
          <w:szCs w:val="24"/>
          <w:lang w:val="en-GB"/>
        </w:rPr>
      </w:pPr>
      <w:r>
        <w:rPr>
          <w:rFonts w:ascii="Trebuchet MS" w:eastAsia="Times New Roman" w:hAnsi="Trebuchet MS" w:cs="Arial"/>
          <w:sz w:val="20"/>
          <w:szCs w:val="24"/>
          <w:lang w:val="en-GB"/>
        </w:rPr>
        <w:tab/>
      </w:r>
    </w:p>
    <w:tbl>
      <w:tblPr>
        <w:tblpPr w:leftFromText="180" w:rightFromText="180" w:horzAnchor="margin" w:tblpXSpec="center" w:tblpY="2790"/>
        <w:tblW w:w="7994" w:type="dxa"/>
        <w:tblCellMar>
          <w:left w:w="0" w:type="dxa"/>
          <w:right w:w="0" w:type="dxa"/>
        </w:tblCellMar>
        <w:tblLook w:val="04A0" w:firstRow="1" w:lastRow="0" w:firstColumn="1" w:lastColumn="0" w:noHBand="0" w:noVBand="1"/>
      </w:tblPr>
      <w:tblGrid>
        <w:gridCol w:w="1890"/>
        <w:gridCol w:w="765"/>
        <w:gridCol w:w="382"/>
        <w:gridCol w:w="3690"/>
        <w:gridCol w:w="1267"/>
      </w:tblGrid>
      <w:tr w:rsidR="00F42577" w14:paraId="3465B23F" w14:textId="77777777" w:rsidTr="791B8592">
        <w:trPr>
          <w:gridBefore w:val="3"/>
          <w:wBefore w:w="3037" w:type="dxa"/>
          <w:trHeight w:val="284"/>
        </w:trPr>
        <w:tc>
          <w:tcPr>
            <w:tcW w:w="3690" w:type="dxa"/>
            <w:vAlign w:val="center"/>
          </w:tcPr>
          <w:p w14:paraId="4C5B3508" w14:textId="77777777" w:rsidR="00F42577" w:rsidRDefault="00F42577" w:rsidP="00DA24D7">
            <w:pPr>
              <w:pStyle w:val="Title"/>
              <w:spacing w:line="276" w:lineRule="auto"/>
              <w:ind w:left="567" w:hanging="567"/>
              <w:jc w:val="right"/>
              <w:rPr>
                <w:rFonts w:ascii="Arial" w:eastAsiaTheme="minorHAnsi" w:hAnsi="Arial" w:cs="Arial"/>
                <w:b/>
                <w:sz w:val="22"/>
                <w:szCs w:val="22"/>
              </w:rPr>
            </w:pPr>
          </w:p>
          <w:p w14:paraId="620E5E3A" w14:textId="77777777" w:rsidR="00F42577" w:rsidRDefault="00F42577" w:rsidP="00DA24D7">
            <w:pPr>
              <w:rPr>
                <w:b/>
                <w:sz w:val="40"/>
                <w:szCs w:val="40"/>
              </w:rPr>
            </w:pPr>
          </w:p>
          <w:p w14:paraId="4B33E4F0" w14:textId="1B7BCF19" w:rsidR="00F42577" w:rsidRPr="000D585F" w:rsidRDefault="00CD76C5" w:rsidP="00DA24D7">
            <w:pPr>
              <w:rPr>
                <w:b/>
                <w:sz w:val="52"/>
                <w:szCs w:val="52"/>
              </w:rPr>
            </w:pPr>
            <w:r>
              <w:rPr>
                <w:b/>
                <w:sz w:val="52"/>
                <w:szCs w:val="52"/>
              </w:rPr>
              <w:t xml:space="preserve">Local Lettings Plan for </w:t>
            </w:r>
            <w:r w:rsidR="00951606">
              <w:rPr>
                <w:b/>
                <w:sz w:val="52"/>
                <w:szCs w:val="52"/>
              </w:rPr>
              <w:t xml:space="preserve">Waterdale Gardens </w:t>
            </w:r>
            <w:r>
              <w:rPr>
                <w:b/>
                <w:sz w:val="52"/>
                <w:szCs w:val="52"/>
              </w:rPr>
              <w:t>Development</w:t>
            </w:r>
          </w:p>
        </w:tc>
        <w:tc>
          <w:tcPr>
            <w:tcW w:w="1267" w:type="dxa"/>
          </w:tcPr>
          <w:p w14:paraId="20E2B5D0" w14:textId="77777777" w:rsidR="00F42577" w:rsidRDefault="00F42577" w:rsidP="00DA24D7">
            <w:pPr>
              <w:spacing w:line="240" w:lineRule="exact"/>
              <w:rPr>
                <w:sz w:val="20"/>
                <w:szCs w:val="28"/>
              </w:rPr>
            </w:pPr>
          </w:p>
        </w:tc>
      </w:tr>
      <w:tr w:rsidR="00F42577" w14:paraId="47131A28" w14:textId="77777777" w:rsidTr="791B8592">
        <w:trPr>
          <w:trHeight w:val="284"/>
        </w:trPr>
        <w:tc>
          <w:tcPr>
            <w:tcW w:w="7994" w:type="dxa"/>
            <w:gridSpan w:val="5"/>
          </w:tcPr>
          <w:p w14:paraId="3C73F1E1" w14:textId="77777777" w:rsidR="00F42577" w:rsidRDefault="00F42577" w:rsidP="00DA24D7">
            <w:pPr>
              <w:spacing w:line="240" w:lineRule="exact"/>
              <w:rPr>
                <w:sz w:val="20"/>
                <w:szCs w:val="28"/>
              </w:rPr>
            </w:pPr>
          </w:p>
        </w:tc>
      </w:tr>
      <w:tr w:rsidR="00F42577" w14:paraId="3124B693" w14:textId="77777777" w:rsidTr="791B8592">
        <w:trPr>
          <w:trHeight w:val="284"/>
        </w:trPr>
        <w:tc>
          <w:tcPr>
            <w:tcW w:w="7994" w:type="dxa"/>
            <w:gridSpan w:val="5"/>
          </w:tcPr>
          <w:p w14:paraId="42DF4D11" w14:textId="77777777" w:rsidR="00F42577" w:rsidRDefault="00F42577" w:rsidP="00DA24D7">
            <w:pPr>
              <w:spacing w:line="240" w:lineRule="exact"/>
              <w:rPr>
                <w:sz w:val="20"/>
                <w:szCs w:val="28"/>
              </w:rPr>
            </w:pPr>
          </w:p>
          <w:p w14:paraId="0B9C6B88" w14:textId="77777777" w:rsidR="00F42577" w:rsidRDefault="00F42577" w:rsidP="00DA24D7">
            <w:pPr>
              <w:spacing w:line="240" w:lineRule="exact"/>
              <w:rPr>
                <w:sz w:val="20"/>
                <w:szCs w:val="28"/>
              </w:rPr>
            </w:pPr>
          </w:p>
          <w:p w14:paraId="0AD5F888" w14:textId="77777777" w:rsidR="00FE5D83" w:rsidRDefault="00FE5D83" w:rsidP="00DA24D7">
            <w:pPr>
              <w:spacing w:line="240" w:lineRule="exact"/>
              <w:rPr>
                <w:sz w:val="20"/>
                <w:szCs w:val="28"/>
              </w:rPr>
            </w:pPr>
          </w:p>
          <w:p w14:paraId="4DAC2EC1" w14:textId="77777777" w:rsidR="00FE5D83" w:rsidRDefault="00FE5D83" w:rsidP="00DA24D7">
            <w:pPr>
              <w:spacing w:line="240" w:lineRule="exact"/>
              <w:rPr>
                <w:sz w:val="20"/>
                <w:szCs w:val="28"/>
              </w:rPr>
            </w:pPr>
          </w:p>
          <w:p w14:paraId="618A888A" w14:textId="77777777" w:rsidR="00FE5D83" w:rsidRDefault="00FE5D83" w:rsidP="00DA24D7">
            <w:pPr>
              <w:spacing w:line="240" w:lineRule="exact"/>
              <w:rPr>
                <w:sz w:val="20"/>
                <w:szCs w:val="28"/>
              </w:rPr>
            </w:pPr>
          </w:p>
          <w:p w14:paraId="1AA4FB97" w14:textId="77777777" w:rsidR="00FE5D83" w:rsidRDefault="00FE5D83" w:rsidP="00DA24D7">
            <w:pPr>
              <w:spacing w:line="240" w:lineRule="exact"/>
              <w:rPr>
                <w:sz w:val="20"/>
                <w:szCs w:val="28"/>
              </w:rPr>
            </w:pPr>
          </w:p>
          <w:p w14:paraId="46548115" w14:textId="77777777" w:rsidR="00FE5D83" w:rsidRDefault="00FE5D83" w:rsidP="00DA24D7">
            <w:pPr>
              <w:spacing w:line="240" w:lineRule="exact"/>
              <w:rPr>
                <w:sz w:val="20"/>
                <w:szCs w:val="28"/>
              </w:rPr>
            </w:pPr>
          </w:p>
          <w:p w14:paraId="32E8E96F" w14:textId="77777777" w:rsidR="00FE5D83" w:rsidRDefault="00FE5D83" w:rsidP="00DA24D7">
            <w:pPr>
              <w:spacing w:line="240" w:lineRule="exact"/>
              <w:rPr>
                <w:sz w:val="20"/>
                <w:szCs w:val="28"/>
              </w:rPr>
            </w:pPr>
          </w:p>
          <w:p w14:paraId="2C5002E5" w14:textId="77777777" w:rsidR="00F42577" w:rsidRDefault="00F42577" w:rsidP="00DA24D7">
            <w:pPr>
              <w:spacing w:line="240" w:lineRule="exact"/>
              <w:rPr>
                <w:sz w:val="20"/>
                <w:szCs w:val="28"/>
              </w:rPr>
            </w:pPr>
          </w:p>
          <w:p w14:paraId="148BCE2E" w14:textId="77777777" w:rsidR="00F42577" w:rsidRDefault="00F42577" w:rsidP="00DA24D7">
            <w:pPr>
              <w:spacing w:line="240" w:lineRule="exact"/>
              <w:rPr>
                <w:sz w:val="20"/>
                <w:szCs w:val="28"/>
              </w:rPr>
            </w:pPr>
          </w:p>
          <w:tbl>
            <w:tblPr>
              <w:tblStyle w:val="TableGrid"/>
              <w:tblW w:w="7983" w:type="dxa"/>
              <w:tblLook w:val="04A0" w:firstRow="1" w:lastRow="0" w:firstColumn="1" w:lastColumn="0" w:noHBand="0" w:noVBand="1"/>
            </w:tblPr>
            <w:tblGrid>
              <w:gridCol w:w="3129"/>
              <w:gridCol w:w="4854"/>
            </w:tblGrid>
            <w:tr w:rsidR="00F42577" w14:paraId="10AB26F3" w14:textId="77777777" w:rsidTr="791B8592">
              <w:trPr>
                <w:trHeight w:val="402"/>
              </w:trPr>
              <w:tc>
                <w:tcPr>
                  <w:tcW w:w="3129" w:type="dxa"/>
                  <w:vAlign w:val="center"/>
                </w:tcPr>
                <w:p w14:paraId="52717D06" w14:textId="77777777" w:rsidR="00F42577" w:rsidRPr="00D82A1C" w:rsidRDefault="00F42577" w:rsidP="006346ED">
                  <w:pPr>
                    <w:framePr w:hSpace="180" w:wrap="around" w:hAnchor="margin" w:xAlign="center" w:y="2790"/>
                    <w:rPr>
                      <w:b/>
                    </w:rPr>
                  </w:pPr>
                  <w:r w:rsidRPr="00D82A1C">
                    <w:rPr>
                      <w:b/>
                    </w:rPr>
                    <w:t>Lead Director</w:t>
                  </w:r>
                </w:p>
                <w:p w14:paraId="66D61F80" w14:textId="77777777" w:rsidR="00F42577" w:rsidRPr="00D82A1C" w:rsidRDefault="00F42577" w:rsidP="006346ED">
                  <w:pPr>
                    <w:framePr w:hSpace="180" w:wrap="around" w:hAnchor="margin" w:xAlign="center" w:y="2790"/>
                    <w:rPr>
                      <w:b/>
                    </w:rPr>
                  </w:pPr>
                </w:p>
              </w:tc>
              <w:tc>
                <w:tcPr>
                  <w:tcW w:w="4854" w:type="dxa"/>
                </w:tcPr>
                <w:p w14:paraId="2F0FEAB0" w14:textId="0B82825E" w:rsidR="00F42577" w:rsidRPr="006D6C66" w:rsidRDefault="00951606" w:rsidP="006346ED">
                  <w:pPr>
                    <w:framePr w:hSpace="180" w:wrap="around" w:hAnchor="margin" w:xAlign="center" w:y="2790"/>
                    <w:spacing w:line="240" w:lineRule="exact"/>
                  </w:pPr>
                  <w:r>
                    <w:t xml:space="preserve">Louise Ellis </w:t>
                  </w:r>
                </w:p>
              </w:tc>
            </w:tr>
            <w:tr w:rsidR="00F42577" w14:paraId="72E34C94" w14:textId="77777777" w:rsidTr="791B8592">
              <w:trPr>
                <w:trHeight w:val="382"/>
              </w:trPr>
              <w:tc>
                <w:tcPr>
                  <w:tcW w:w="3129" w:type="dxa"/>
                  <w:vAlign w:val="center"/>
                </w:tcPr>
                <w:p w14:paraId="27F1DBC9" w14:textId="476B33A3" w:rsidR="5CB294C8" w:rsidRDefault="5CB294C8" w:rsidP="006346ED">
                  <w:pPr>
                    <w:framePr w:hSpace="180" w:wrap="around" w:hAnchor="margin" w:xAlign="center" w:y="2790"/>
                    <w:spacing w:line="259" w:lineRule="auto"/>
                  </w:pPr>
                  <w:r w:rsidRPr="5CB294C8">
                    <w:rPr>
                      <w:b/>
                      <w:bCs/>
                    </w:rPr>
                    <w:t>Reference</w:t>
                  </w:r>
                </w:p>
                <w:p w14:paraId="136A6985" w14:textId="77777777" w:rsidR="00F42577" w:rsidRPr="00D82A1C" w:rsidRDefault="00F42577" w:rsidP="006346ED">
                  <w:pPr>
                    <w:framePr w:hSpace="180" w:wrap="around" w:hAnchor="margin" w:xAlign="center" w:y="2790"/>
                    <w:rPr>
                      <w:b/>
                    </w:rPr>
                  </w:pPr>
                </w:p>
              </w:tc>
              <w:tc>
                <w:tcPr>
                  <w:tcW w:w="4854" w:type="dxa"/>
                </w:tcPr>
                <w:p w14:paraId="745EC61D" w14:textId="7146D431" w:rsidR="00F42577" w:rsidRPr="00D82A1C" w:rsidRDefault="5CB294C8" w:rsidP="006346ED">
                  <w:pPr>
                    <w:framePr w:hSpace="180" w:wrap="around" w:hAnchor="margin" w:xAlign="center" w:y="2790"/>
                    <w:spacing w:line="240" w:lineRule="exact"/>
                  </w:pPr>
                  <w:r>
                    <w:t xml:space="preserve">POL </w:t>
                  </w:r>
                </w:p>
              </w:tc>
            </w:tr>
            <w:tr w:rsidR="00F42577" w14:paraId="420B72E0" w14:textId="77777777" w:rsidTr="791B8592">
              <w:trPr>
                <w:trHeight w:val="402"/>
              </w:trPr>
              <w:tc>
                <w:tcPr>
                  <w:tcW w:w="3129" w:type="dxa"/>
                  <w:vAlign w:val="center"/>
                </w:tcPr>
                <w:p w14:paraId="14FDC853" w14:textId="77777777" w:rsidR="00F42577" w:rsidRPr="00D82A1C" w:rsidRDefault="00F42577" w:rsidP="006346ED">
                  <w:pPr>
                    <w:framePr w:hSpace="180" w:wrap="around" w:hAnchor="margin" w:xAlign="center" w:y="2790"/>
                    <w:rPr>
                      <w:b/>
                    </w:rPr>
                  </w:pPr>
                  <w:r w:rsidRPr="00D82A1C">
                    <w:rPr>
                      <w:b/>
                    </w:rPr>
                    <w:t>Committee Review</w:t>
                  </w:r>
                </w:p>
              </w:tc>
              <w:tc>
                <w:tcPr>
                  <w:tcW w:w="4854" w:type="dxa"/>
                </w:tcPr>
                <w:p w14:paraId="66FAC3AF" w14:textId="77777777" w:rsidR="00F42577" w:rsidRPr="00D82A1C" w:rsidRDefault="00DA24D7" w:rsidP="006346ED">
                  <w:pPr>
                    <w:framePr w:hSpace="180" w:wrap="around" w:hAnchor="margin" w:xAlign="center" w:y="2790"/>
                    <w:spacing w:line="240" w:lineRule="exact"/>
                  </w:pPr>
                  <w:r>
                    <w:t xml:space="preserve">[Committee Name] </w:t>
                  </w:r>
                  <w:r w:rsidR="00F42577" w:rsidRPr="00D82A1C">
                    <w:t xml:space="preserve"> (</w:t>
                  </w:r>
                  <w:r>
                    <w:t>Day/</w:t>
                  </w:r>
                  <w:r w:rsidR="00F42577" w:rsidRPr="00D82A1C">
                    <w:t>Month/Y</w:t>
                  </w:r>
                  <w:r>
                    <w:t>ea</w:t>
                  </w:r>
                  <w:r w:rsidR="00F42577" w:rsidRPr="00D82A1C">
                    <w:t>r)</w:t>
                  </w:r>
                </w:p>
                <w:p w14:paraId="3D31FEDF" w14:textId="77777777" w:rsidR="00F42577" w:rsidRPr="00D82A1C" w:rsidRDefault="00F42577" w:rsidP="006346ED">
                  <w:pPr>
                    <w:framePr w:hSpace="180" w:wrap="around" w:hAnchor="margin" w:xAlign="center" w:y="2790"/>
                    <w:spacing w:line="240" w:lineRule="exact"/>
                  </w:pPr>
                </w:p>
              </w:tc>
            </w:tr>
            <w:tr w:rsidR="00F42577" w14:paraId="1FD12A99" w14:textId="77777777" w:rsidTr="791B8592">
              <w:trPr>
                <w:trHeight w:val="402"/>
              </w:trPr>
              <w:tc>
                <w:tcPr>
                  <w:tcW w:w="3129" w:type="dxa"/>
                  <w:vAlign w:val="center"/>
                </w:tcPr>
                <w:p w14:paraId="4C42C840" w14:textId="77777777" w:rsidR="00F42577" w:rsidRPr="00D82A1C" w:rsidRDefault="00F42577" w:rsidP="006346ED">
                  <w:pPr>
                    <w:framePr w:hSpace="180" w:wrap="around" w:hAnchor="margin" w:xAlign="center" w:y="2790"/>
                    <w:rPr>
                      <w:b/>
                    </w:rPr>
                  </w:pPr>
                  <w:r w:rsidRPr="00D82A1C">
                    <w:rPr>
                      <w:b/>
                    </w:rPr>
                    <w:t xml:space="preserve">Board Approval </w:t>
                  </w:r>
                </w:p>
              </w:tc>
              <w:tc>
                <w:tcPr>
                  <w:tcW w:w="4854" w:type="dxa"/>
                </w:tcPr>
                <w:p w14:paraId="39092707" w14:textId="77777777" w:rsidR="00F42577" w:rsidRPr="00D82A1C" w:rsidRDefault="00F42577" w:rsidP="006346ED">
                  <w:pPr>
                    <w:framePr w:hSpace="180" w:wrap="around" w:hAnchor="margin" w:xAlign="center" w:y="2790"/>
                    <w:spacing w:line="240" w:lineRule="exact"/>
                  </w:pPr>
                  <w:r w:rsidRPr="00D82A1C">
                    <w:t>(</w:t>
                  </w:r>
                  <w:r w:rsidR="00DA24D7">
                    <w:t>Day/</w:t>
                  </w:r>
                  <w:r w:rsidRPr="00D82A1C">
                    <w:t>Month/Y</w:t>
                  </w:r>
                  <w:r w:rsidR="00DA24D7">
                    <w:t>ea</w:t>
                  </w:r>
                  <w:r w:rsidRPr="00D82A1C">
                    <w:t>r)</w:t>
                  </w:r>
                </w:p>
                <w:p w14:paraId="2F2B00F9" w14:textId="77777777" w:rsidR="00F42577" w:rsidRPr="00D82A1C" w:rsidRDefault="00F42577" w:rsidP="006346ED">
                  <w:pPr>
                    <w:framePr w:hSpace="180" w:wrap="around" w:hAnchor="margin" w:xAlign="center" w:y="2790"/>
                    <w:spacing w:line="240" w:lineRule="exact"/>
                  </w:pPr>
                </w:p>
              </w:tc>
            </w:tr>
            <w:tr w:rsidR="0AFBE3F8" w14:paraId="09C77A47" w14:textId="77777777" w:rsidTr="791B8592">
              <w:trPr>
                <w:trHeight w:val="402"/>
              </w:trPr>
              <w:tc>
                <w:tcPr>
                  <w:tcW w:w="3129" w:type="dxa"/>
                  <w:vAlign w:val="center"/>
                </w:tcPr>
                <w:p w14:paraId="78942BFA" w14:textId="6CC63CF7" w:rsidR="0AFBE3F8" w:rsidRDefault="46D055E6" w:rsidP="006346ED">
                  <w:pPr>
                    <w:framePr w:hSpace="180" w:wrap="around" w:hAnchor="margin" w:xAlign="center" w:y="2790"/>
                    <w:rPr>
                      <w:b/>
                      <w:bCs/>
                    </w:rPr>
                  </w:pPr>
                  <w:r w:rsidRPr="46D055E6">
                    <w:rPr>
                      <w:b/>
                      <w:bCs/>
                    </w:rPr>
                    <w:t>Version date</w:t>
                  </w:r>
                </w:p>
              </w:tc>
              <w:tc>
                <w:tcPr>
                  <w:tcW w:w="4854" w:type="dxa"/>
                </w:tcPr>
                <w:p w14:paraId="3CE927A6" w14:textId="57D85DD3" w:rsidR="0AFBE3F8" w:rsidRDefault="0AFBE3F8" w:rsidP="006346ED">
                  <w:pPr>
                    <w:framePr w:hSpace="180" w:wrap="around" w:hAnchor="margin" w:xAlign="center" w:y="2790"/>
                    <w:spacing w:line="240" w:lineRule="exact"/>
                  </w:pPr>
                </w:p>
              </w:tc>
            </w:tr>
            <w:tr w:rsidR="00F42577" w14:paraId="5823AFE5" w14:textId="77777777" w:rsidTr="791B8592">
              <w:trPr>
                <w:trHeight w:val="392"/>
              </w:trPr>
              <w:tc>
                <w:tcPr>
                  <w:tcW w:w="3129" w:type="dxa"/>
                  <w:vAlign w:val="center"/>
                </w:tcPr>
                <w:p w14:paraId="365BF6C4" w14:textId="77777777" w:rsidR="00F42577" w:rsidRPr="00D82A1C" w:rsidRDefault="00F42577" w:rsidP="006346ED">
                  <w:pPr>
                    <w:framePr w:hSpace="180" w:wrap="around" w:hAnchor="margin" w:xAlign="center" w:y="2790"/>
                    <w:rPr>
                      <w:b/>
                    </w:rPr>
                  </w:pPr>
                  <w:r w:rsidRPr="00D82A1C">
                    <w:rPr>
                      <w:b/>
                    </w:rPr>
                    <w:t xml:space="preserve">Review Date </w:t>
                  </w:r>
                </w:p>
              </w:tc>
              <w:tc>
                <w:tcPr>
                  <w:tcW w:w="4854" w:type="dxa"/>
                </w:tcPr>
                <w:p w14:paraId="0116861D" w14:textId="4F1ECEF4" w:rsidR="00F42577" w:rsidRPr="00D82A1C" w:rsidRDefault="00F42577" w:rsidP="006346ED">
                  <w:pPr>
                    <w:framePr w:hSpace="180" w:wrap="around" w:hAnchor="margin" w:xAlign="center" w:y="2790"/>
                    <w:spacing w:line="240" w:lineRule="exact"/>
                  </w:pPr>
                  <w:r w:rsidRPr="00D82A1C">
                    <w:t>(</w:t>
                  </w:r>
                  <w:r w:rsidR="00CD76C5">
                    <w:t>26</w:t>
                  </w:r>
                  <w:r w:rsidR="00DA24D7">
                    <w:t>/</w:t>
                  </w:r>
                  <w:r w:rsidR="00CD76C5">
                    <w:t>April</w:t>
                  </w:r>
                  <w:r w:rsidR="00DA24D7">
                    <w:t>/</w:t>
                  </w:r>
                  <w:r w:rsidR="00CD76C5">
                    <w:t>2025</w:t>
                  </w:r>
                  <w:r w:rsidR="00DA24D7">
                    <w:t>) – max 2 years from approval date</w:t>
                  </w:r>
                </w:p>
              </w:tc>
            </w:tr>
          </w:tbl>
          <w:p w14:paraId="6C1FC838" w14:textId="77777777" w:rsidR="00F42577" w:rsidRDefault="00F42577" w:rsidP="00DA24D7">
            <w:pPr>
              <w:spacing w:line="240" w:lineRule="exact"/>
              <w:rPr>
                <w:sz w:val="20"/>
                <w:szCs w:val="28"/>
              </w:rPr>
            </w:pPr>
          </w:p>
          <w:p w14:paraId="1A510475" w14:textId="77777777" w:rsidR="00F42577" w:rsidRDefault="00F42577" w:rsidP="00DA24D7">
            <w:pPr>
              <w:spacing w:line="240" w:lineRule="exact"/>
              <w:rPr>
                <w:sz w:val="20"/>
                <w:szCs w:val="28"/>
              </w:rPr>
            </w:pPr>
          </w:p>
        </w:tc>
      </w:tr>
      <w:tr w:rsidR="00F42577" w14:paraId="1D086E54" w14:textId="77777777" w:rsidTr="791B8592">
        <w:trPr>
          <w:gridBefore w:val="1"/>
          <w:wBefore w:w="1890" w:type="dxa"/>
          <w:trHeight w:val="284"/>
        </w:trPr>
        <w:tc>
          <w:tcPr>
            <w:tcW w:w="6104" w:type="dxa"/>
            <w:gridSpan w:val="4"/>
          </w:tcPr>
          <w:p w14:paraId="687CF679" w14:textId="77777777" w:rsidR="008067D7" w:rsidRDefault="008067D7" w:rsidP="00DA24D7">
            <w:pPr>
              <w:spacing w:line="240" w:lineRule="exact"/>
              <w:rPr>
                <w:sz w:val="20"/>
                <w:szCs w:val="28"/>
              </w:rPr>
            </w:pPr>
          </w:p>
        </w:tc>
      </w:tr>
      <w:tr w:rsidR="00DA24D7" w14:paraId="4E400016" w14:textId="77777777" w:rsidTr="791B8592">
        <w:trPr>
          <w:gridBefore w:val="1"/>
          <w:wBefore w:w="1890" w:type="dxa"/>
          <w:trHeight w:val="284"/>
        </w:trPr>
        <w:tc>
          <w:tcPr>
            <w:tcW w:w="6104" w:type="dxa"/>
            <w:gridSpan w:val="4"/>
          </w:tcPr>
          <w:p w14:paraId="677D5558" w14:textId="77777777" w:rsidR="00DA24D7" w:rsidRDefault="00DA24D7" w:rsidP="00DA24D7">
            <w:pPr>
              <w:spacing w:line="240" w:lineRule="exact"/>
              <w:rPr>
                <w:sz w:val="20"/>
                <w:szCs w:val="28"/>
              </w:rPr>
            </w:pPr>
          </w:p>
        </w:tc>
      </w:tr>
      <w:tr w:rsidR="00F42577" w:rsidRPr="00537F51" w14:paraId="07ED355A" w14:textId="77777777" w:rsidTr="791B8592">
        <w:trPr>
          <w:gridBefore w:val="2"/>
          <w:wBefore w:w="2655" w:type="dxa"/>
          <w:trHeight w:val="284"/>
        </w:trPr>
        <w:tc>
          <w:tcPr>
            <w:tcW w:w="5339" w:type="dxa"/>
            <w:gridSpan w:val="3"/>
            <w:vAlign w:val="center"/>
          </w:tcPr>
          <w:p w14:paraId="08503425" w14:textId="77777777" w:rsidR="00F42577" w:rsidRPr="00537F51" w:rsidRDefault="00F42577" w:rsidP="00F42577">
            <w:pPr>
              <w:rPr>
                <w:b/>
                <w:sz w:val="20"/>
              </w:rPr>
            </w:pPr>
          </w:p>
        </w:tc>
      </w:tr>
    </w:tbl>
    <w:p w14:paraId="4167DA99" w14:textId="6BF638AF" w:rsidR="00B178B9" w:rsidRDefault="00B178B9" w:rsidP="003838C5">
      <w:pPr>
        <w:ind w:right="-99"/>
        <w:rPr>
          <w:rFonts w:eastAsia="Times New Roman" w:cs="Arial"/>
          <w:b/>
          <w:sz w:val="32"/>
          <w:szCs w:val="32"/>
          <w:lang w:val="en-GB"/>
        </w:rPr>
      </w:pPr>
      <w:r>
        <w:rPr>
          <w:rFonts w:eastAsia="Times New Roman" w:cs="Arial"/>
          <w:b/>
          <w:sz w:val="32"/>
          <w:szCs w:val="32"/>
          <w:lang w:val="en-GB"/>
        </w:rPr>
        <w:br w:type="page"/>
      </w:r>
    </w:p>
    <w:p w14:paraId="4839F9DF" w14:textId="77777777" w:rsidR="008067D7" w:rsidRPr="00F42577" w:rsidRDefault="008067D7" w:rsidP="005F506A">
      <w:pPr>
        <w:pStyle w:val="Heading1"/>
        <w:rPr>
          <w:rFonts w:eastAsia="Times New Roman"/>
          <w:lang w:val="en-GB"/>
        </w:rPr>
      </w:pPr>
      <w:r w:rsidRPr="00E31AE9">
        <w:rPr>
          <w:rFonts w:eastAsia="Times New Roman"/>
          <w:lang w:val="en-GB"/>
        </w:rPr>
        <w:lastRenderedPageBreak/>
        <w:t>1</w:t>
      </w:r>
      <w:r w:rsidRPr="00E31AE9">
        <w:rPr>
          <w:rFonts w:eastAsia="Times New Roman"/>
          <w:lang w:val="en-GB"/>
        </w:rPr>
        <w:tab/>
      </w:r>
      <w:r w:rsidRPr="00F42577">
        <w:rPr>
          <w:rFonts w:eastAsia="Times New Roman"/>
          <w:lang w:val="en-GB"/>
        </w:rPr>
        <w:t>Introduction</w:t>
      </w:r>
      <w:r>
        <w:rPr>
          <w:rFonts w:eastAsia="Times New Roman"/>
          <w:lang w:val="en-GB"/>
        </w:rPr>
        <w:t xml:space="preserve"> &amp; Aim</w:t>
      </w:r>
    </w:p>
    <w:p w14:paraId="7333B521" w14:textId="77777777" w:rsidR="008067D7" w:rsidRPr="00F42577" w:rsidRDefault="008067D7" w:rsidP="00C9688B">
      <w:pPr>
        <w:autoSpaceDE w:val="0"/>
        <w:autoSpaceDN w:val="0"/>
        <w:adjustRightInd w:val="0"/>
        <w:rPr>
          <w:rFonts w:eastAsia="Times New Roman" w:cs="Arial"/>
          <w:sz w:val="36"/>
          <w:szCs w:val="36"/>
          <w:lang w:val="en-GB"/>
        </w:rPr>
      </w:pPr>
    </w:p>
    <w:p w14:paraId="492638AD" w14:textId="0EB12610" w:rsidR="00CD76C5" w:rsidRDefault="00CD76C5" w:rsidP="00CD76C5">
      <w:pPr>
        <w:contextualSpacing/>
      </w:pPr>
      <w:r>
        <w:t xml:space="preserve">The Local Lettings Plan is an addition to the Merseyside Sub-Regional Allocations Policy. It sets out Cobalt Housing’s approach to the allocation of available properties on the </w:t>
      </w:r>
      <w:r w:rsidR="00951606">
        <w:t>Waterdale Gardens</w:t>
      </w:r>
      <w:r>
        <w:t xml:space="preserve"> site, defining exceptions to the Sub-Regional Allocations policy and providing a set of principles and a framework to ensure tenancy and neighbourhood sustainability in the area.</w:t>
      </w:r>
    </w:p>
    <w:p w14:paraId="62472951" w14:textId="77777777" w:rsidR="00FE5D83" w:rsidRDefault="00FE5D83" w:rsidP="00F42577">
      <w:pPr>
        <w:autoSpaceDE w:val="0"/>
        <w:autoSpaceDN w:val="0"/>
        <w:adjustRightInd w:val="0"/>
        <w:spacing w:line="240" w:lineRule="exact"/>
        <w:rPr>
          <w:rFonts w:eastAsia="Times New Roman" w:cs="Arial"/>
          <w:lang w:val="en-GB"/>
        </w:rPr>
      </w:pPr>
    </w:p>
    <w:p w14:paraId="5F08F4EC" w14:textId="77777777" w:rsidR="00B178B9" w:rsidRPr="00B178B9" w:rsidRDefault="00B178B9" w:rsidP="005F506A">
      <w:pPr>
        <w:pStyle w:val="Heading1"/>
        <w:rPr>
          <w:rFonts w:eastAsia="Times New Roman"/>
          <w:lang w:eastAsia="en-GB"/>
        </w:rPr>
      </w:pPr>
      <w:r w:rsidRPr="00B178B9">
        <w:rPr>
          <w:rFonts w:eastAsia="Times New Roman"/>
          <w:lang w:eastAsia="en-GB"/>
        </w:rPr>
        <w:t>2</w:t>
      </w:r>
      <w:r w:rsidRPr="00B178B9">
        <w:rPr>
          <w:rFonts w:eastAsia="Times New Roman"/>
          <w:lang w:eastAsia="en-GB"/>
        </w:rPr>
        <w:tab/>
        <w:t>Policy Statement</w:t>
      </w:r>
    </w:p>
    <w:p w14:paraId="75A8DC2B" w14:textId="77777777" w:rsidR="00B178B9" w:rsidRPr="00C30B1F" w:rsidRDefault="00B178B9" w:rsidP="00B178B9">
      <w:pPr>
        <w:tabs>
          <w:tab w:val="left" w:pos="720"/>
        </w:tabs>
        <w:autoSpaceDE w:val="0"/>
        <w:autoSpaceDN w:val="0"/>
        <w:adjustRightInd w:val="0"/>
        <w:ind w:left="142" w:hanging="142"/>
        <w:rPr>
          <w:rFonts w:eastAsia="Times New Roman" w:cs="Arial"/>
          <w:color w:val="FF0000"/>
          <w:lang w:eastAsia="en-GB"/>
        </w:rPr>
      </w:pPr>
    </w:p>
    <w:p w14:paraId="18A39896" w14:textId="77777777" w:rsidR="002A73B8" w:rsidRDefault="002A73B8" w:rsidP="002A73B8">
      <w:r>
        <w:t xml:space="preserve">The Local Lettings Plan (LLP) has been developed to supplement the sub regional choice based lettings (SRCBL) policy. It enables the business to continue to provide consistent allocations but also provides flexibility to enable Officers to manage risk in the allocation of properties, particularly around the sustainability of communities. </w:t>
      </w:r>
    </w:p>
    <w:p w14:paraId="572171F5" w14:textId="77777777" w:rsidR="002A73B8" w:rsidRDefault="002A73B8" w:rsidP="002A73B8"/>
    <w:p w14:paraId="391D9813" w14:textId="2CDDB293" w:rsidR="002A73B8" w:rsidRDefault="002A73B8" w:rsidP="002A73B8">
      <w:r>
        <w:t>The policy applies to the allocation of Cobalt properties on the</w:t>
      </w:r>
      <w:r w:rsidR="00951606">
        <w:t xml:space="preserve"> Waterdale Gardens development</w:t>
      </w:r>
      <w:r>
        <w:t>.</w:t>
      </w:r>
    </w:p>
    <w:p w14:paraId="09E698DB" w14:textId="77777777" w:rsidR="00B178B9" w:rsidRDefault="00B178B9" w:rsidP="00B178B9">
      <w:pPr>
        <w:ind w:firstLine="709"/>
        <w:rPr>
          <w:rFonts w:eastAsia="Times New Roman" w:cs="Arial"/>
          <w:lang w:eastAsia="en-GB"/>
        </w:rPr>
      </w:pPr>
    </w:p>
    <w:p w14:paraId="6E82CF3D" w14:textId="77777777" w:rsidR="005246C8" w:rsidRPr="005246C8" w:rsidRDefault="005246C8" w:rsidP="005F506A">
      <w:pPr>
        <w:pStyle w:val="Heading1"/>
        <w:rPr>
          <w:rFonts w:eastAsia="Times New Roman"/>
          <w:lang w:eastAsia="en-GB"/>
        </w:rPr>
      </w:pPr>
      <w:r w:rsidRPr="005246C8">
        <w:rPr>
          <w:rFonts w:eastAsia="Times New Roman"/>
          <w:lang w:eastAsia="en-GB"/>
        </w:rPr>
        <w:t>3</w:t>
      </w:r>
      <w:r w:rsidRPr="005246C8">
        <w:rPr>
          <w:rFonts w:eastAsia="Times New Roman"/>
          <w:lang w:eastAsia="en-GB"/>
        </w:rPr>
        <w:tab/>
        <w:t>Policy Principles</w:t>
      </w:r>
    </w:p>
    <w:p w14:paraId="2B555484" w14:textId="77777777" w:rsidR="005246C8" w:rsidRPr="00244CB7" w:rsidRDefault="005246C8" w:rsidP="005246C8">
      <w:pPr>
        <w:rPr>
          <w:rFonts w:eastAsia="Times New Roman" w:cs="Arial"/>
          <w:b/>
          <w:lang w:eastAsia="en-GB"/>
        </w:rPr>
      </w:pPr>
    </w:p>
    <w:p w14:paraId="60DC8B26" w14:textId="77777777" w:rsidR="002A73B8" w:rsidRPr="00C57BA3" w:rsidRDefault="002A73B8" w:rsidP="002A73B8">
      <w:pPr>
        <w:rPr>
          <w:b/>
          <w:bCs/>
        </w:rPr>
      </w:pPr>
      <w:r w:rsidRPr="00C57BA3">
        <w:rPr>
          <w:b/>
          <w:bCs/>
        </w:rPr>
        <w:t>Support Regeneration of Stonedale Estate</w:t>
      </w:r>
    </w:p>
    <w:p w14:paraId="07D327DF" w14:textId="77777777" w:rsidR="002A73B8" w:rsidRDefault="002A73B8" w:rsidP="002A73B8"/>
    <w:p w14:paraId="4AAD3B2D" w14:textId="77777777" w:rsidR="002A73B8" w:rsidRDefault="002A73B8" w:rsidP="002A73B8">
      <w:r>
        <w:t>A local lettings plan will support the decant of properties on Stonedale estate and facilitate further regeneration, giving priority to current Croxteth tenants will help create a sustainable community.</w:t>
      </w:r>
    </w:p>
    <w:p w14:paraId="72C40AC8" w14:textId="65370CF3" w:rsidR="002A73B8" w:rsidRDefault="002A73B8" w:rsidP="002A73B8"/>
    <w:p w14:paraId="6EF397A6" w14:textId="18531B14" w:rsidR="00C57BA3" w:rsidRDefault="00C57BA3" w:rsidP="00C57BA3">
      <w:r>
        <w:t xml:space="preserve">The </w:t>
      </w:r>
      <w:r w:rsidR="00951606" w:rsidRPr="00951606">
        <w:t>Waterdale Gardens</w:t>
      </w:r>
      <w:r>
        <w:t xml:space="preserve"> site is part of a wider regeneration project of the Stonedale Crescent/ Invergarry Road area. The recent new build development on Altbridge was also part of the regeneration project and our plan is to repeat the same local letting plan we employed there. This was 50% of the affordable rent properties will be allocated via Propertypool or Access and 50% will be let via Propertypool, but with priority given to those applicants with a link to the local area.</w:t>
      </w:r>
    </w:p>
    <w:p w14:paraId="4A5D6DB4" w14:textId="7D4668C8" w:rsidR="002A3E0C" w:rsidRDefault="002A3E0C" w:rsidP="00C57BA3"/>
    <w:p w14:paraId="0A606987" w14:textId="4C077373" w:rsidR="002A3E0C" w:rsidRDefault="002A3E0C" w:rsidP="002A3E0C">
      <w:pPr>
        <w:jc w:val="left"/>
        <w:textAlignment w:val="baseline"/>
        <w:rPr>
          <w:rFonts w:eastAsia="Times New Roman" w:cs="Arial"/>
          <w:b/>
          <w:bCs/>
          <w:lang w:val="en-GB" w:eastAsia="en-GB"/>
        </w:rPr>
      </w:pPr>
      <w:r w:rsidRPr="002A3E0C">
        <w:rPr>
          <w:rFonts w:eastAsia="Times New Roman" w:cs="Arial"/>
          <w:b/>
          <w:bCs/>
          <w:lang w:val="en-GB" w:eastAsia="en-GB"/>
        </w:rPr>
        <w:t>Criteria for 50% Cobalt matches  </w:t>
      </w:r>
    </w:p>
    <w:p w14:paraId="54E4F38B" w14:textId="77777777" w:rsidR="0028359A" w:rsidRPr="002A3E0C" w:rsidRDefault="0028359A" w:rsidP="002A3E0C">
      <w:pPr>
        <w:jc w:val="left"/>
        <w:textAlignment w:val="baseline"/>
        <w:rPr>
          <w:rFonts w:eastAsia="Times New Roman" w:cs="Arial"/>
          <w:b/>
          <w:bCs/>
          <w:sz w:val="18"/>
          <w:szCs w:val="18"/>
          <w:lang w:val="en-GB" w:eastAsia="en-GB"/>
        </w:rPr>
      </w:pPr>
    </w:p>
    <w:p w14:paraId="2FBD15EB" w14:textId="6F402B4D" w:rsidR="002A3E0C" w:rsidRPr="002A3E0C" w:rsidRDefault="002A3E0C" w:rsidP="002A3E0C">
      <w:pPr>
        <w:jc w:val="left"/>
        <w:textAlignment w:val="baseline"/>
        <w:rPr>
          <w:rFonts w:eastAsia="Times New Roman" w:cs="Arial"/>
          <w:lang w:val="en-GB" w:eastAsia="en-GB"/>
        </w:rPr>
      </w:pPr>
      <w:r w:rsidRPr="002A3E0C">
        <w:rPr>
          <w:rFonts w:eastAsia="Times New Roman" w:cs="Arial"/>
          <w:lang w:val="en-GB" w:eastAsia="en-GB"/>
        </w:rPr>
        <w:t>We will operate a points based system for transparency. Priority will be given to those in order who: </w:t>
      </w:r>
    </w:p>
    <w:p w14:paraId="0BCA1D7D" w14:textId="77777777" w:rsidR="002A3E0C" w:rsidRPr="002A3E0C" w:rsidRDefault="002A3E0C" w:rsidP="002A3E0C">
      <w:pPr>
        <w:jc w:val="left"/>
        <w:textAlignment w:val="baseline"/>
        <w:rPr>
          <w:rFonts w:eastAsia="Times New Roman" w:cs="Arial"/>
          <w:sz w:val="18"/>
          <w:szCs w:val="18"/>
          <w:lang w:val="en-GB" w:eastAsia="en-GB"/>
        </w:rPr>
      </w:pPr>
    </w:p>
    <w:p w14:paraId="03FEA2DB" w14:textId="77777777" w:rsidR="002A3E0C" w:rsidRPr="0028359A" w:rsidRDefault="002A3E0C" w:rsidP="0028359A">
      <w:pPr>
        <w:pStyle w:val="ListParagraph"/>
        <w:numPr>
          <w:ilvl w:val="0"/>
          <w:numId w:val="11"/>
        </w:numPr>
        <w:jc w:val="left"/>
        <w:textAlignment w:val="baseline"/>
        <w:rPr>
          <w:rFonts w:eastAsia="Times New Roman" w:cs="Arial"/>
          <w:lang w:val="en-GB" w:eastAsia="en-GB"/>
        </w:rPr>
      </w:pPr>
      <w:r w:rsidRPr="0028359A">
        <w:rPr>
          <w:rFonts w:eastAsia="Times New Roman" w:cs="Arial"/>
          <w:lang w:val="en-GB" w:eastAsia="en-GB"/>
        </w:rPr>
        <w:t>Are directly impacted by the estate regeneration in Stonedale Crescent (their homes are due to be demolished in a future phase) </w:t>
      </w:r>
    </w:p>
    <w:p w14:paraId="5ABA4DCD" w14:textId="77777777" w:rsidR="002A3E0C" w:rsidRPr="0028359A" w:rsidRDefault="002A3E0C" w:rsidP="0028359A">
      <w:pPr>
        <w:pStyle w:val="ListParagraph"/>
        <w:numPr>
          <w:ilvl w:val="0"/>
          <w:numId w:val="11"/>
        </w:numPr>
        <w:jc w:val="left"/>
        <w:textAlignment w:val="baseline"/>
        <w:rPr>
          <w:rFonts w:eastAsia="Times New Roman" w:cs="Arial"/>
          <w:lang w:val="en-GB" w:eastAsia="en-GB"/>
        </w:rPr>
      </w:pPr>
      <w:r w:rsidRPr="0028359A">
        <w:rPr>
          <w:rFonts w:eastAsia="Times New Roman" w:cs="Arial"/>
          <w:lang w:val="en-GB" w:eastAsia="en-GB"/>
        </w:rPr>
        <w:t>That meet the criteria for the rightsizing project to free up larger family homes  </w:t>
      </w:r>
    </w:p>
    <w:p w14:paraId="51031F71" w14:textId="6463CBBE" w:rsidR="002A3E0C" w:rsidRDefault="002A3E0C" w:rsidP="002A3E0C">
      <w:pPr>
        <w:pStyle w:val="ListParagraph"/>
        <w:numPr>
          <w:ilvl w:val="0"/>
          <w:numId w:val="11"/>
        </w:numPr>
        <w:jc w:val="left"/>
        <w:textAlignment w:val="baseline"/>
        <w:rPr>
          <w:rFonts w:eastAsia="Times New Roman" w:cs="Arial"/>
          <w:lang w:val="en-GB" w:eastAsia="en-GB"/>
        </w:rPr>
      </w:pPr>
      <w:r w:rsidRPr="0028359A">
        <w:rPr>
          <w:rFonts w:eastAsia="Times New Roman" w:cs="Arial"/>
          <w:lang w:val="en-GB" w:eastAsia="en-GB"/>
        </w:rPr>
        <w:t>Are in housing need AND have a positive local connection to our neighbourhoods such as an existing resident, family or work in the local area to sustain community cohesion. Due to the proximity of the new properties to the Stonedale Estate we also feel some movement between the two would promote a sense of community rather than having a ‘them and us’ scenario.</w:t>
      </w:r>
    </w:p>
    <w:p w14:paraId="13BDAD1C" w14:textId="77777777" w:rsidR="00951606" w:rsidRDefault="00951606" w:rsidP="00951606">
      <w:pPr>
        <w:jc w:val="left"/>
        <w:textAlignment w:val="baseline"/>
        <w:rPr>
          <w:rFonts w:eastAsia="Times New Roman" w:cs="Arial"/>
          <w:lang w:val="en-GB" w:eastAsia="en-GB"/>
        </w:rPr>
      </w:pPr>
    </w:p>
    <w:p w14:paraId="37D7534D" w14:textId="77777777" w:rsidR="00951606" w:rsidRDefault="00951606" w:rsidP="00951606">
      <w:pPr>
        <w:jc w:val="left"/>
        <w:textAlignment w:val="baseline"/>
        <w:rPr>
          <w:rFonts w:eastAsia="Times New Roman" w:cs="Arial"/>
          <w:lang w:val="en-GB" w:eastAsia="en-GB"/>
        </w:rPr>
      </w:pPr>
    </w:p>
    <w:p w14:paraId="4EFA2045" w14:textId="77777777" w:rsidR="00951606" w:rsidRDefault="00951606" w:rsidP="00951606">
      <w:pPr>
        <w:jc w:val="left"/>
        <w:textAlignment w:val="baseline"/>
        <w:rPr>
          <w:rFonts w:eastAsia="Times New Roman" w:cs="Arial"/>
          <w:lang w:val="en-GB" w:eastAsia="en-GB"/>
        </w:rPr>
      </w:pPr>
    </w:p>
    <w:p w14:paraId="6EDEF00A" w14:textId="77777777" w:rsidR="00951606" w:rsidRDefault="00951606" w:rsidP="00951606">
      <w:pPr>
        <w:jc w:val="left"/>
        <w:textAlignment w:val="baseline"/>
        <w:rPr>
          <w:rFonts w:eastAsia="Times New Roman" w:cs="Arial"/>
          <w:lang w:val="en-GB" w:eastAsia="en-GB"/>
        </w:rPr>
      </w:pPr>
    </w:p>
    <w:p w14:paraId="46E22064" w14:textId="77777777" w:rsidR="00951606" w:rsidRDefault="00951606" w:rsidP="00951606">
      <w:pPr>
        <w:jc w:val="left"/>
        <w:textAlignment w:val="baseline"/>
        <w:rPr>
          <w:rFonts w:eastAsia="Times New Roman" w:cs="Arial"/>
          <w:lang w:val="en-GB" w:eastAsia="en-GB"/>
        </w:rPr>
      </w:pPr>
    </w:p>
    <w:p w14:paraId="0EFCA2D9" w14:textId="77777777" w:rsidR="00951606" w:rsidRPr="00951606" w:rsidRDefault="00951606" w:rsidP="00951606">
      <w:pPr>
        <w:jc w:val="left"/>
        <w:textAlignment w:val="baseline"/>
        <w:rPr>
          <w:rFonts w:eastAsia="Times New Roman" w:cs="Arial"/>
          <w:lang w:val="en-GB" w:eastAsia="en-GB"/>
        </w:rPr>
      </w:pPr>
    </w:p>
    <w:p w14:paraId="792A8513" w14:textId="77777777" w:rsidR="002A3E0C" w:rsidRPr="002A3E0C" w:rsidRDefault="002A3E0C" w:rsidP="002A3E0C">
      <w:pPr>
        <w:ind w:left="360"/>
        <w:jc w:val="left"/>
        <w:textAlignment w:val="baseline"/>
        <w:rPr>
          <w:rFonts w:ascii="Calibri" w:eastAsia="Times New Roman" w:hAnsi="Calibri" w:cs="Calibri"/>
          <w:lang w:val="en-GB"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1800"/>
      </w:tblGrid>
      <w:tr w:rsidR="002A3E0C" w:rsidRPr="002A3E0C" w14:paraId="77D7052C" w14:textId="77777777" w:rsidTr="002A3E0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BC6AD17" w14:textId="77777777" w:rsidR="002A3E0C" w:rsidRPr="002A3E0C" w:rsidRDefault="002A3E0C" w:rsidP="002A3E0C">
            <w:pPr>
              <w:jc w:val="left"/>
              <w:textAlignment w:val="baseline"/>
              <w:rPr>
                <w:rFonts w:eastAsia="Times New Roman" w:cs="Arial"/>
                <w:sz w:val="24"/>
                <w:szCs w:val="24"/>
                <w:lang w:val="en-GB" w:eastAsia="en-GB"/>
              </w:rPr>
            </w:pPr>
            <w:r w:rsidRPr="002A3E0C">
              <w:rPr>
                <w:rFonts w:eastAsia="Times New Roman" w:cs="Arial"/>
                <w:b/>
                <w:bCs/>
                <w:lang w:val="en-GB" w:eastAsia="en-GB"/>
              </w:rPr>
              <w:lastRenderedPageBreak/>
              <w:t>Criteria </w:t>
            </w:r>
            <w:r w:rsidRPr="002A3E0C">
              <w:rPr>
                <w:rFonts w:eastAsia="Times New Roman" w:cs="Arial"/>
                <w:lang w:val="en-GB"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7FEB1023" w14:textId="77777777" w:rsidR="002A3E0C" w:rsidRPr="002A3E0C" w:rsidRDefault="002A3E0C" w:rsidP="002A3E0C">
            <w:pPr>
              <w:jc w:val="left"/>
              <w:textAlignment w:val="baseline"/>
              <w:rPr>
                <w:rFonts w:eastAsia="Times New Roman" w:cs="Arial"/>
                <w:sz w:val="24"/>
                <w:szCs w:val="24"/>
                <w:lang w:val="en-GB" w:eastAsia="en-GB"/>
              </w:rPr>
            </w:pPr>
            <w:r w:rsidRPr="002A3E0C">
              <w:rPr>
                <w:rFonts w:eastAsia="Times New Roman" w:cs="Arial"/>
                <w:b/>
                <w:bCs/>
                <w:lang w:val="en-GB" w:eastAsia="en-GB"/>
              </w:rPr>
              <w:t>Points awarded</w:t>
            </w:r>
            <w:r w:rsidRPr="002A3E0C">
              <w:rPr>
                <w:rFonts w:eastAsia="Times New Roman" w:cs="Arial"/>
                <w:lang w:val="en-GB" w:eastAsia="en-GB"/>
              </w:rPr>
              <w:t> </w:t>
            </w:r>
          </w:p>
        </w:tc>
      </w:tr>
      <w:tr w:rsidR="002A3E0C" w:rsidRPr="002A3E0C" w14:paraId="4241AD98" w14:textId="77777777" w:rsidTr="002A3E0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EEE6FEF" w14:textId="77777777" w:rsidR="002A3E0C" w:rsidRPr="002A3E0C" w:rsidRDefault="002A3E0C" w:rsidP="002A3E0C">
            <w:pPr>
              <w:jc w:val="left"/>
              <w:textAlignment w:val="baseline"/>
              <w:rPr>
                <w:rFonts w:eastAsia="Times New Roman" w:cs="Arial"/>
                <w:sz w:val="24"/>
                <w:szCs w:val="24"/>
                <w:lang w:val="en-GB" w:eastAsia="en-GB"/>
              </w:rPr>
            </w:pPr>
            <w:r w:rsidRPr="002A3E0C">
              <w:rPr>
                <w:rFonts w:eastAsia="Times New Roman" w:cs="Arial"/>
                <w:lang w:val="en-GB" w:eastAsia="en-GB"/>
              </w:rPr>
              <w:t>Stonedale Decant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C48DC8B" w14:textId="77777777" w:rsidR="002A3E0C" w:rsidRPr="002A3E0C" w:rsidRDefault="002A3E0C" w:rsidP="002A3E0C">
            <w:pPr>
              <w:jc w:val="left"/>
              <w:textAlignment w:val="baseline"/>
              <w:rPr>
                <w:rFonts w:eastAsia="Times New Roman" w:cs="Arial"/>
                <w:sz w:val="24"/>
                <w:szCs w:val="24"/>
                <w:lang w:val="en-GB" w:eastAsia="en-GB"/>
              </w:rPr>
            </w:pPr>
            <w:r w:rsidRPr="002A3E0C">
              <w:rPr>
                <w:rFonts w:eastAsia="Times New Roman" w:cs="Arial"/>
                <w:lang w:val="en-GB" w:eastAsia="en-GB"/>
              </w:rPr>
              <w:t>10 </w:t>
            </w:r>
          </w:p>
        </w:tc>
      </w:tr>
      <w:tr w:rsidR="002A3E0C" w:rsidRPr="002A3E0C" w14:paraId="6E86F38A" w14:textId="77777777" w:rsidTr="002A3E0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CAD65AD" w14:textId="77777777" w:rsidR="002A3E0C" w:rsidRPr="002A3E0C" w:rsidRDefault="002A3E0C" w:rsidP="002A3E0C">
            <w:pPr>
              <w:jc w:val="left"/>
              <w:textAlignment w:val="baseline"/>
              <w:rPr>
                <w:rFonts w:eastAsia="Times New Roman" w:cs="Arial"/>
                <w:sz w:val="24"/>
                <w:szCs w:val="24"/>
                <w:lang w:val="en-GB" w:eastAsia="en-GB"/>
              </w:rPr>
            </w:pPr>
            <w:r w:rsidRPr="002A3E0C">
              <w:rPr>
                <w:rFonts w:eastAsia="Times New Roman" w:cs="Arial"/>
                <w:lang w:val="en-GB" w:eastAsia="en-GB"/>
              </w:rPr>
              <w:t>Stonedale resident with a housing need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5322864C" w14:textId="77777777" w:rsidR="002A3E0C" w:rsidRPr="002A3E0C" w:rsidRDefault="002A3E0C" w:rsidP="002A3E0C">
            <w:pPr>
              <w:jc w:val="left"/>
              <w:textAlignment w:val="baseline"/>
              <w:rPr>
                <w:rFonts w:eastAsia="Times New Roman" w:cs="Arial"/>
                <w:sz w:val="24"/>
                <w:szCs w:val="24"/>
                <w:lang w:val="en-GB" w:eastAsia="en-GB"/>
              </w:rPr>
            </w:pPr>
            <w:r w:rsidRPr="002A3E0C">
              <w:rPr>
                <w:rFonts w:eastAsia="Times New Roman" w:cs="Arial"/>
                <w:lang w:val="en-GB" w:eastAsia="en-GB"/>
              </w:rPr>
              <w:t>4 </w:t>
            </w:r>
          </w:p>
        </w:tc>
      </w:tr>
      <w:tr w:rsidR="002A3E0C" w:rsidRPr="002A3E0C" w14:paraId="3EC2427D" w14:textId="77777777" w:rsidTr="002A3E0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A39DE7B" w14:textId="77777777" w:rsidR="002A3E0C" w:rsidRPr="002A3E0C" w:rsidRDefault="002A3E0C" w:rsidP="002A3E0C">
            <w:pPr>
              <w:jc w:val="left"/>
              <w:textAlignment w:val="baseline"/>
              <w:rPr>
                <w:rFonts w:eastAsia="Times New Roman" w:cs="Arial"/>
                <w:sz w:val="24"/>
                <w:szCs w:val="24"/>
                <w:lang w:val="en-GB" w:eastAsia="en-GB"/>
              </w:rPr>
            </w:pPr>
            <w:r w:rsidRPr="002A3E0C">
              <w:rPr>
                <w:rFonts w:eastAsia="Times New Roman" w:cs="Arial"/>
                <w:lang w:val="en-GB" w:eastAsia="en-GB"/>
              </w:rPr>
              <w:t>Cobalt tenant downsizing (1 point per room capped at 3)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918FD83" w14:textId="77777777" w:rsidR="002A3E0C" w:rsidRPr="002A3E0C" w:rsidRDefault="002A3E0C" w:rsidP="002A3E0C">
            <w:pPr>
              <w:jc w:val="left"/>
              <w:textAlignment w:val="baseline"/>
              <w:rPr>
                <w:rFonts w:eastAsia="Times New Roman" w:cs="Arial"/>
                <w:sz w:val="24"/>
                <w:szCs w:val="24"/>
                <w:lang w:val="en-GB" w:eastAsia="en-GB"/>
              </w:rPr>
            </w:pPr>
            <w:r w:rsidRPr="002A3E0C">
              <w:rPr>
                <w:rFonts w:eastAsia="Times New Roman" w:cs="Arial"/>
                <w:lang w:val="en-GB" w:eastAsia="en-GB"/>
              </w:rPr>
              <w:t>Max 3   </w:t>
            </w:r>
          </w:p>
        </w:tc>
      </w:tr>
      <w:tr w:rsidR="002A3E0C" w:rsidRPr="002A3E0C" w14:paraId="070F35E6" w14:textId="77777777" w:rsidTr="002A3E0C">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D7D7C38" w14:textId="77777777" w:rsidR="002A3E0C" w:rsidRPr="002A3E0C" w:rsidRDefault="002A3E0C" w:rsidP="002A3E0C">
            <w:pPr>
              <w:jc w:val="left"/>
              <w:textAlignment w:val="baseline"/>
              <w:rPr>
                <w:rFonts w:eastAsia="Times New Roman" w:cs="Arial"/>
                <w:sz w:val="24"/>
                <w:szCs w:val="24"/>
                <w:lang w:val="en-GB" w:eastAsia="en-GB"/>
              </w:rPr>
            </w:pPr>
            <w:r w:rsidRPr="002A3E0C">
              <w:rPr>
                <w:rFonts w:eastAsia="Times New Roman" w:cs="Arial"/>
                <w:lang w:val="en-GB" w:eastAsia="en-GB"/>
              </w:rPr>
              <w:t>Active role in the community including school and work or give/receive support in the croxteth area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12133CC6" w14:textId="77777777" w:rsidR="002A3E0C" w:rsidRPr="002A3E0C" w:rsidRDefault="002A3E0C" w:rsidP="002A3E0C">
            <w:pPr>
              <w:jc w:val="left"/>
              <w:textAlignment w:val="baseline"/>
              <w:rPr>
                <w:rFonts w:eastAsia="Times New Roman" w:cs="Arial"/>
                <w:sz w:val="24"/>
                <w:szCs w:val="24"/>
                <w:lang w:val="en-GB" w:eastAsia="en-GB"/>
              </w:rPr>
            </w:pPr>
            <w:r w:rsidRPr="002A3E0C">
              <w:rPr>
                <w:rFonts w:eastAsia="Times New Roman" w:cs="Arial"/>
                <w:lang w:val="en-GB" w:eastAsia="en-GB"/>
              </w:rPr>
              <w:t>1  </w:t>
            </w:r>
          </w:p>
        </w:tc>
      </w:tr>
    </w:tbl>
    <w:p w14:paraId="112EAB0F" w14:textId="7FDA02BF" w:rsidR="002A3E0C" w:rsidRPr="002A3E0C" w:rsidRDefault="002A3E0C" w:rsidP="002A3E0C">
      <w:pPr>
        <w:jc w:val="left"/>
        <w:textAlignment w:val="baseline"/>
        <w:rPr>
          <w:rFonts w:ascii="Segoe UI" w:eastAsia="Times New Roman" w:hAnsi="Segoe UI" w:cs="Segoe UI"/>
          <w:sz w:val="18"/>
          <w:szCs w:val="18"/>
          <w:lang w:val="en-GB" w:eastAsia="en-GB"/>
        </w:rPr>
      </w:pPr>
      <w:r w:rsidRPr="002A3E0C">
        <w:rPr>
          <w:rFonts w:ascii="Calibri" w:eastAsia="Times New Roman" w:hAnsi="Calibri" w:cs="Calibri"/>
          <w:lang w:val="en-GB" w:eastAsia="en-GB"/>
        </w:rPr>
        <w:t> </w:t>
      </w:r>
    </w:p>
    <w:p w14:paraId="120DBD3C" w14:textId="77777777" w:rsidR="00C57BA3" w:rsidRDefault="00C57BA3" w:rsidP="00C57BA3"/>
    <w:p w14:paraId="377D7D96" w14:textId="6E52EF16" w:rsidR="00C57BA3" w:rsidRDefault="00C57BA3" w:rsidP="00C57BA3">
      <w:r>
        <w:t>The total number of properties included in the development is broken down as follows:</w:t>
      </w:r>
    </w:p>
    <w:p w14:paraId="6447ABCC" w14:textId="77777777" w:rsidR="00C57BA3" w:rsidRDefault="00C57BA3" w:rsidP="00C57BA3"/>
    <w:p w14:paraId="2C9695D1" w14:textId="77777777" w:rsidR="00C57BA3" w:rsidRDefault="00C57BA3" w:rsidP="00C57BA3">
      <w:r>
        <w:t>4 x 1 bed flat</w:t>
      </w:r>
    </w:p>
    <w:p w14:paraId="27FE2B33" w14:textId="5095602C" w:rsidR="00C57BA3" w:rsidRDefault="00C57BA3" w:rsidP="00C57BA3">
      <w:r>
        <w:t>4 x 1 bed flat wheelchair accessible</w:t>
      </w:r>
      <w:r w:rsidR="005657B0">
        <w:t>*</w:t>
      </w:r>
    </w:p>
    <w:p w14:paraId="5CCC06D0" w14:textId="77777777" w:rsidR="00C57BA3" w:rsidRDefault="00C57BA3" w:rsidP="00C57BA3">
      <w:r>
        <w:t>23 x 2 bed house</w:t>
      </w:r>
    </w:p>
    <w:p w14:paraId="1A2E37C0" w14:textId="0D9749A9" w:rsidR="00C57BA3" w:rsidRDefault="00C57BA3" w:rsidP="00C57BA3">
      <w:r>
        <w:t>2 x 2 bed house wheelchair accessible</w:t>
      </w:r>
      <w:r w:rsidR="005657B0">
        <w:t>*</w:t>
      </w:r>
    </w:p>
    <w:p w14:paraId="7A1D8096" w14:textId="77777777" w:rsidR="00C57BA3" w:rsidRDefault="00C57BA3" w:rsidP="00C57BA3">
      <w:r>
        <w:t>11 x 3 bed house</w:t>
      </w:r>
    </w:p>
    <w:p w14:paraId="58DAF167" w14:textId="7FF18B6B" w:rsidR="00C57BA3" w:rsidRDefault="00C57BA3" w:rsidP="00C57BA3">
      <w:r>
        <w:t>2 x 3 bed house wheelchair accessible</w:t>
      </w:r>
      <w:r w:rsidR="005657B0">
        <w:t>*</w:t>
      </w:r>
    </w:p>
    <w:p w14:paraId="626BE072" w14:textId="3AB0DD71" w:rsidR="00C57BA3" w:rsidRDefault="00C57BA3" w:rsidP="00C57BA3">
      <w:r>
        <w:t>4 x 4 bed house</w:t>
      </w:r>
    </w:p>
    <w:p w14:paraId="18C64C8E" w14:textId="5415281D" w:rsidR="004D71CC" w:rsidRPr="004D71CC" w:rsidRDefault="005657B0" w:rsidP="00C57BA3">
      <w:pPr>
        <w:rPr>
          <w:i/>
          <w:iCs/>
        </w:rPr>
      </w:pPr>
      <w:r w:rsidRPr="005657B0">
        <w:rPr>
          <w:i/>
          <w:iCs/>
        </w:rPr>
        <w:t>*</w:t>
      </w:r>
      <w:r w:rsidR="00610785">
        <w:rPr>
          <w:i/>
          <w:iCs/>
        </w:rPr>
        <w:t>M43 accessible units</w:t>
      </w:r>
      <w:r w:rsidRPr="005657B0">
        <w:rPr>
          <w:i/>
          <w:iCs/>
        </w:rPr>
        <w:t xml:space="preserve"> </w:t>
      </w:r>
    </w:p>
    <w:p w14:paraId="1E1D51A7" w14:textId="77777777" w:rsidR="0028359A" w:rsidRDefault="0028359A" w:rsidP="00C57BA3"/>
    <w:p w14:paraId="7454C1D2" w14:textId="3513264B" w:rsidR="00C57BA3" w:rsidRDefault="00C57BA3" w:rsidP="00C57BA3">
      <w:r>
        <w:t>The</w:t>
      </w:r>
      <w:r w:rsidR="005657B0">
        <w:t xml:space="preserve"> scheme also has</w:t>
      </w:r>
      <w:r>
        <w:t xml:space="preserve"> rent to buy and shared ownership properties as part of the development, but the allocation of these will be </w:t>
      </w:r>
      <w:r w:rsidR="005657B0">
        <w:t>managed</w:t>
      </w:r>
      <w:r>
        <w:t xml:space="preserve"> separately</w:t>
      </w:r>
      <w:r w:rsidR="005657B0">
        <w:t xml:space="preserve"> to this policy</w:t>
      </w:r>
      <w:r>
        <w:t>.</w:t>
      </w:r>
    </w:p>
    <w:p w14:paraId="426BD036" w14:textId="77777777" w:rsidR="005657B0" w:rsidRDefault="005657B0" w:rsidP="002A73B8"/>
    <w:p w14:paraId="025D7B02" w14:textId="52CC5759" w:rsidR="00C57BA3" w:rsidRDefault="005657B0" w:rsidP="002A73B8">
      <w:r>
        <w:t>T</w:t>
      </w:r>
      <w:r w:rsidR="00C57BA3">
        <w:t>he Local lettings plan will be</w:t>
      </w:r>
      <w:r>
        <w:t xml:space="preserve"> </w:t>
      </w:r>
      <w:r w:rsidR="00C57BA3">
        <w:t>approv</w:t>
      </w:r>
      <w:r>
        <w:t xml:space="preserve">ed in consultation with Liverpool </w:t>
      </w:r>
      <w:r w:rsidR="00C57BA3">
        <w:t>City Council. Initial conversations in this regard have already started.</w:t>
      </w:r>
    </w:p>
    <w:p w14:paraId="7DFA127B" w14:textId="77777777" w:rsidR="00C57BA3" w:rsidRDefault="00C57BA3" w:rsidP="002A73B8"/>
    <w:p w14:paraId="65DE87E6" w14:textId="77777777" w:rsidR="002A73B8" w:rsidRPr="00C57BA3" w:rsidRDefault="002A73B8" w:rsidP="002A73B8">
      <w:pPr>
        <w:rPr>
          <w:b/>
          <w:bCs/>
        </w:rPr>
      </w:pPr>
      <w:r w:rsidRPr="00C57BA3">
        <w:rPr>
          <w:b/>
          <w:bCs/>
        </w:rPr>
        <w:t>Best Use of Stock</w:t>
      </w:r>
    </w:p>
    <w:p w14:paraId="25107C77" w14:textId="77777777" w:rsidR="002A73B8" w:rsidRDefault="002A73B8" w:rsidP="002A73B8"/>
    <w:p w14:paraId="0483A904" w14:textId="77777777" w:rsidR="002A73B8" w:rsidRDefault="002A73B8" w:rsidP="002A73B8">
      <w:r>
        <w:t>Cobalt will always aim to make ‘best use’ of its available housing stock and fully occupy properties.</w:t>
      </w:r>
    </w:p>
    <w:p w14:paraId="49F7B261" w14:textId="77777777" w:rsidR="002A73B8" w:rsidRDefault="002A73B8" w:rsidP="002A73B8"/>
    <w:p w14:paraId="3E83085B" w14:textId="77777777" w:rsidR="002A73B8" w:rsidRPr="00C57BA3" w:rsidRDefault="002A73B8" w:rsidP="002A73B8">
      <w:pPr>
        <w:rPr>
          <w:b/>
          <w:bCs/>
        </w:rPr>
      </w:pPr>
      <w:r w:rsidRPr="00C57BA3">
        <w:rPr>
          <w:b/>
          <w:bCs/>
        </w:rPr>
        <w:t xml:space="preserve">Period of Allocations / Local Lettings Policy </w:t>
      </w:r>
    </w:p>
    <w:p w14:paraId="43E47216" w14:textId="77777777" w:rsidR="002A73B8" w:rsidRDefault="002A73B8" w:rsidP="002A73B8"/>
    <w:p w14:paraId="2DF98677" w14:textId="77777777" w:rsidR="002A73B8" w:rsidRDefault="002A73B8" w:rsidP="002A73B8">
      <w:r>
        <w:t>Cobalt will adopt the temporary revised allocations criteria in the Local Lettings Plans for the initial allocation of the properties as detailed above. Subsequent allocation will revert to the Sub-Regional Allocations Policy.</w:t>
      </w:r>
    </w:p>
    <w:p w14:paraId="58A86037" w14:textId="77777777" w:rsidR="002A73B8" w:rsidRDefault="002A73B8" w:rsidP="002A73B8"/>
    <w:p w14:paraId="4E8007C7" w14:textId="77777777" w:rsidR="002A73B8" w:rsidRPr="00C57BA3" w:rsidRDefault="002A73B8" w:rsidP="002A73B8">
      <w:pPr>
        <w:rPr>
          <w:b/>
          <w:bCs/>
        </w:rPr>
      </w:pPr>
      <w:r w:rsidRPr="00C57BA3">
        <w:rPr>
          <w:b/>
          <w:bCs/>
        </w:rPr>
        <w:t>Adapted / purpose-built specialist properties</w:t>
      </w:r>
    </w:p>
    <w:p w14:paraId="20B7496B" w14:textId="77777777" w:rsidR="002A73B8" w:rsidRDefault="002A73B8" w:rsidP="002A73B8"/>
    <w:p w14:paraId="32884578" w14:textId="28F758AF" w:rsidR="002A73B8" w:rsidRDefault="00951606" w:rsidP="002A73B8">
      <w:r>
        <w:t xml:space="preserve">Due to changes in Sub-Reginal Allocations Policy all </w:t>
      </w:r>
      <w:r w:rsidR="002A73B8" w:rsidRPr="002603F2">
        <w:t>adapted or</w:t>
      </w:r>
      <w:r w:rsidR="002A73B8">
        <w:t xml:space="preserve"> </w:t>
      </w:r>
      <w:r w:rsidR="002A73B8" w:rsidRPr="002603F2">
        <w:t>purpose-built specialist properties</w:t>
      </w:r>
      <w:r>
        <w:t xml:space="preserve"> will be advertised on PPP</w:t>
      </w:r>
      <w:r w:rsidR="002A73B8" w:rsidRPr="002603F2">
        <w:t xml:space="preserve"> </w:t>
      </w:r>
      <w:r>
        <w:t xml:space="preserve">and attempted to be match to </w:t>
      </w:r>
      <w:r w:rsidR="002A73B8" w:rsidRPr="002603F2">
        <w:t>applicants requiring those adaptations or property</w:t>
      </w:r>
      <w:r w:rsidR="002A73B8">
        <w:t xml:space="preserve"> </w:t>
      </w:r>
      <w:r w:rsidR="002A73B8" w:rsidRPr="002603F2">
        <w:t>type.</w:t>
      </w:r>
    </w:p>
    <w:p w14:paraId="30DDDDE4" w14:textId="77777777" w:rsidR="002A73B8" w:rsidRDefault="002A73B8" w:rsidP="002A73B8"/>
    <w:p w14:paraId="4A9650BD" w14:textId="47A5C214" w:rsidR="002A73B8" w:rsidRDefault="002A73B8" w:rsidP="002A73B8">
      <w:r w:rsidRPr="002603F2">
        <w:t>Adapted properties that are not suitable for allocation by</w:t>
      </w:r>
      <w:r w:rsidR="00951606">
        <w:t xml:space="preserve"> CBL</w:t>
      </w:r>
      <w:r w:rsidRPr="002603F2">
        <w:t xml:space="preserve"> will be let by Cobalt,</w:t>
      </w:r>
      <w:r>
        <w:t xml:space="preserve"> </w:t>
      </w:r>
      <w:r w:rsidRPr="002603F2">
        <w:t>aiming to best match the property to a suitable applicant. We will also retain a Cobalt</w:t>
      </w:r>
      <w:r>
        <w:t xml:space="preserve"> </w:t>
      </w:r>
      <w:r w:rsidRPr="002603F2">
        <w:t>medical register for this purpose,</w:t>
      </w:r>
      <w:r>
        <w:t xml:space="preserve"> </w:t>
      </w:r>
      <w:r w:rsidRPr="002603F2">
        <w:t>for properties that have partial adaptations that cannot be allocated through PPP</w:t>
      </w:r>
      <w:r>
        <w:t>.</w:t>
      </w:r>
    </w:p>
    <w:p w14:paraId="6D31EAE5" w14:textId="77777777" w:rsidR="000F577A" w:rsidRDefault="000F577A">
      <w:pPr>
        <w:rPr>
          <w:rFonts w:eastAsia="Times New Roman" w:cs="Arial"/>
          <w:lang w:eastAsia="en-GB"/>
        </w:rPr>
      </w:pPr>
      <w:r>
        <w:rPr>
          <w:rFonts w:eastAsia="Times New Roman" w:cs="Arial"/>
          <w:lang w:eastAsia="en-GB"/>
        </w:rPr>
        <w:br w:type="page"/>
      </w:r>
    </w:p>
    <w:p w14:paraId="2F0D4742" w14:textId="77777777" w:rsidR="005246C8" w:rsidRDefault="005246C8" w:rsidP="005246C8">
      <w:pPr>
        <w:rPr>
          <w:rFonts w:eastAsia="Times New Roman" w:cs="Arial"/>
          <w:lang w:eastAsia="en-GB"/>
        </w:rPr>
      </w:pPr>
    </w:p>
    <w:p w14:paraId="2B737064" w14:textId="77777777" w:rsidR="00822ED0" w:rsidRPr="00F42577" w:rsidRDefault="00822ED0" w:rsidP="005F506A">
      <w:pPr>
        <w:pStyle w:val="Heading1"/>
        <w:rPr>
          <w:rFonts w:eastAsia="Times New Roman"/>
          <w:lang w:val="en-GB"/>
        </w:rPr>
      </w:pPr>
      <w:r>
        <w:rPr>
          <w:rFonts w:eastAsia="Times New Roman"/>
          <w:lang w:val="en-GB"/>
        </w:rPr>
        <w:t>4</w:t>
      </w:r>
      <w:r w:rsidRPr="00F42577">
        <w:rPr>
          <w:rFonts w:eastAsia="Times New Roman"/>
          <w:lang w:val="en-GB"/>
        </w:rPr>
        <w:tab/>
      </w:r>
      <w:r w:rsidRPr="00E31AE9">
        <w:rPr>
          <w:rFonts w:eastAsia="Times New Roman"/>
          <w:lang w:val="en-GB"/>
        </w:rPr>
        <w:t>Risk Management</w:t>
      </w:r>
    </w:p>
    <w:p w14:paraId="06AB75C3" w14:textId="77777777" w:rsidR="00822ED0" w:rsidRDefault="00822ED0" w:rsidP="00822ED0">
      <w:pPr>
        <w:autoSpaceDE w:val="0"/>
        <w:autoSpaceDN w:val="0"/>
        <w:adjustRightInd w:val="0"/>
        <w:rPr>
          <w:rFonts w:eastAsia="Times New Roman" w:cs="Arial"/>
          <w:sz w:val="36"/>
          <w:szCs w:val="36"/>
          <w:lang w:val="en-GB"/>
        </w:rPr>
      </w:pPr>
    </w:p>
    <w:tbl>
      <w:tblPr>
        <w:tblStyle w:val="TableGrid"/>
        <w:tblW w:w="0" w:type="auto"/>
        <w:tblLook w:val="04A0" w:firstRow="1" w:lastRow="0" w:firstColumn="1" w:lastColumn="0" w:noHBand="0" w:noVBand="1"/>
      </w:tblPr>
      <w:tblGrid>
        <w:gridCol w:w="4508"/>
        <w:gridCol w:w="4508"/>
      </w:tblGrid>
      <w:tr w:rsidR="002A73B8" w14:paraId="5DA1011F" w14:textId="77777777" w:rsidTr="004379B2">
        <w:tc>
          <w:tcPr>
            <w:tcW w:w="4508" w:type="dxa"/>
            <w:shd w:val="clear" w:color="auto" w:fill="BDD6EE" w:themeFill="accent1" w:themeFillTint="66"/>
          </w:tcPr>
          <w:p w14:paraId="7AC052F3" w14:textId="77777777" w:rsidR="002A73B8" w:rsidRDefault="002A73B8" w:rsidP="004379B2">
            <w:pPr>
              <w:rPr>
                <w:b/>
                <w:bCs/>
              </w:rPr>
            </w:pPr>
            <w:r>
              <w:rPr>
                <w:b/>
                <w:bCs/>
              </w:rPr>
              <w:t>Risk Register</w:t>
            </w:r>
          </w:p>
        </w:tc>
        <w:tc>
          <w:tcPr>
            <w:tcW w:w="4508" w:type="dxa"/>
            <w:shd w:val="clear" w:color="auto" w:fill="BDD6EE" w:themeFill="accent1" w:themeFillTint="66"/>
          </w:tcPr>
          <w:p w14:paraId="3F3B365A" w14:textId="77777777" w:rsidR="002A73B8" w:rsidRDefault="002A73B8" w:rsidP="004379B2">
            <w:pPr>
              <w:rPr>
                <w:b/>
                <w:bCs/>
              </w:rPr>
            </w:pPr>
            <w:r>
              <w:rPr>
                <w:b/>
                <w:bCs/>
              </w:rPr>
              <w:t>Risk</w:t>
            </w:r>
          </w:p>
        </w:tc>
      </w:tr>
      <w:tr w:rsidR="002A73B8" w14:paraId="0C5CAC58" w14:textId="77777777" w:rsidTr="004379B2">
        <w:tc>
          <w:tcPr>
            <w:tcW w:w="4508" w:type="dxa"/>
          </w:tcPr>
          <w:p w14:paraId="04B4E7B8" w14:textId="77777777" w:rsidR="002A73B8" w:rsidRDefault="002A73B8" w:rsidP="004379B2">
            <w:pPr>
              <w:rPr>
                <w:b/>
                <w:bCs/>
              </w:rPr>
            </w:pPr>
            <w:r>
              <w:t>ST 13 Neighbourhood Sustainability</w:t>
            </w:r>
          </w:p>
        </w:tc>
        <w:tc>
          <w:tcPr>
            <w:tcW w:w="4508" w:type="dxa"/>
          </w:tcPr>
          <w:p w14:paraId="2B2A2F13" w14:textId="77777777" w:rsidR="002A73B8" w:rsidRDefault="002A73B8" w:rsidP="004379B2">
            <w:pPr>
              <w:rPr>
                <w:b/>
                <w:bCs/>
              </w:rPr>
            </w:pPr>
            <w:r>
              <w:t>This policy primarily manages and protects the sustainability of our neighbourhoods</w:t>
            </w:r>
          </w:p>
        </w:tc>
      </w:tr>
      <w:tr w:rsidR="002A73B8" w14:paraId="14055394" w14:textId="77777777" w:rsidTr="004379B2">
        <w:tc>
          <w:tcPr>
            <w:tcW w:w="4508" w:type="dxa"/>
            <w:shd w:val="clear" w:color="auto" w:fill="BDD6EE" w:themeFill="accent1" w:themeFillTint="66"/>
          </w:tcPr>
          <w:p w14:paraId="5A4C6789" w14:textId="77777777" w:rsidR="002A73B8" w:rsidRDefault="002A73B8" w:rsidP="004379B2">
            <w:pPr>
              <w:rPr>
                <w:b/>
                <w:bCs/>
              </w:rPr>
            </w:pPr>
            <w:r>
              <w:t>Risk Consequences:</w:t>
            </w:r>
          </w:p>
        </w:tc>
        <w:tc>
          <w:tcPr>
            <w:tcW w:w="4508" w:type="dxa"/>
            <w:shd w:val="clear" w:color="auto" w:fill="BDD6EE" w:themeFill="accent1" w:themeFillTint="66"/>
          </w:tcPr>
          <w:p w14:paraId="402CDC1E" w14:textId="77777777" w:rsidR="002A73B8" w:rsidRDefault="002A73B8" w:rsidP="004379B2">
            <w:pPr>
              <w:rPr>
                <w:b/>
                <w:bCs/>
              </w:rPr>
            </w:pPr>
            <w:r>
              <w:t>Management and Mitigation:</w:t>
            </w:r>
          </w:p>
        </w:tc>
      </w:tr>
      <w:tr w:rsidR="002A73B8" w14:paraId="65D00B0F" w14:textId="77777777" w:rsidTr="004379B2">
        <w:tc>
          <w:tcPr>
            <w:tcW w:w="4508" w:type="dxa"/>
          </w:tcPr>
          <w:p w14:paraId="2B63FEBA" w14:textId="77777777" w:rsidR="002A73B8" w:rsidRDefault="002A73B8" w:rsidP="004379B2">
            <w:r>
              <w:t>Increased Void levels</w:t>
            </w:r>
          </w:p>
          <w:p w14:paraId="362FF49F" w14:textId="77777777" w:rsidR="002A73B8" w:rsidRDefault="002A73B8" w:rsidP="004379B2">
            <w:pPr>
              <w:rPr>
                <w:b/>
                <w:bCs/>
              </w:rPr>
            </w:pPr>
            <w:r>
              <w:t xml:space="preserve">Drop in rental income </w:t>
            </w:r>
          </w:p>
        </w:tc>
        <w:tc>
          <w:tcPr>
            <w:tcW w:w="4508" w:type="dxa"/>
          </w:tcPr>
          <w:p w14:paraId="68C84370" w14:textId="77777777" w:rsidR="002A73B8" w:rsidRDefault="002A73B8" w:rsidP="004379B2">
            <w:pPr>
              <w:rPr>
                <w:b/>
                <w:bCs/>
              </w:rPr>
            </w:pPr>
            <w:r>
              <w:t>Alongside this plan we also have a mixture of support and enforcement to manage allocations and subsequent tenancies</w:t>
            </w:r>
          </w:p>
        </w:tc>
      </w:tr>
    </w:tbl>
    <w:p w14:paraId="5C4269FA" w14:textId="7AE895A7" w:rsidR="002A73B8" w:rsidRDefault="002A73B8" w:rsidP="00822ED0">
      <w:pPr>
        <w:autoSpaceDE w:val="0"/>
        <w:autoSpaceDN w:val="0"/>
        <w:adjustRightInd w:val="0"/>
        <w:rPr>
          <w:rFonts w:eastAsia="Times New Roman" w:cs="Arial"/>
          <w:lang w:val="en-GB"/>
        </w:rPr>
      </w:pPr>
    </w:p>
    <w:p w14:paraId="5A5D1CAF" w14:textId="77777777" w:rsidR="00EA5963" w:rsidRPr="00E31AE9" w:rsidRDefault="00EA5963" w:rsidP="005F506A">
      <w:pPr>
        <w:pStyle w:val="Heading1"/>
        <w:rPr>
          <w:rFonts w:eastAsia="Times New Roman"/>
          <w:lang w:val="en-GB"/>
        </w:rPr>
      </w:pPr>
      <w:r>
        <w:rPr>
          <w:rFonts w:eastAsia="Times New Roman"/>
          <w:lang w:val="en-GB"/>
        </w:rPr>
        <w:t>5</w:t>
      </w:r>
      <w:r w:rsidRPr="00F42577">
        <w:rPr>
          <w:rFonts w:eastAsia="Times New Roman"/>
          <w:lang w:val="en-GB"/>
        </w:rPr>
        <w:tab/>
      </w:r>
      <w:r>
        <w:rPr>
          <w:rFonts w:eastAsia="Times New Roman"/>
          <w:lang w:val="en-GB"/>
        </w:rPr>
        <w:t>Regulatory &amp; Legislative Compliance</w:t>
      </w:r>
    </w:p>
    <w:p w14:paraId="41224D33" w14:textId="77777777" w:rsidR="00EA5963" w:rsidRDefault="00EA5963" w:rsidP="00EA5963">
      <w:pPr>
        <w:autoSpaceDE w:val="0"/>
        <w:autoSpaceDN w:val="0"/>
        <w:adjustRightInd w:val="0"/>
        <w:rPr>
          <w:rFonts w:eastAsia="Times New Roman" w:cs="Arial"/>
          <w:sz w:val="36"/>
          <w:szCs w:val="36"/>
          <w:lang w:val="en-GB"/>
        </w:rPr>
      </w:pPr>
    </w:p>
    <w:p w14:paraId="72CFD16E" w14:textId="77777777" w:rsidR="002A73B8" w:rsidRDefault="002A73B8" w:rsidP="002A73B8">
      <w:r>
        <w:t>Cobalt is committed to work in partnership with Liverpool City Council (LCC) to assist the local authority in its statutory duty to meet housing needs within the district. Cobalt participates in the local authority’s recognised ‘choice-based lettings’ system, ‘Property-Pool Plus’, and nominates to the local authority no less than 50% of all available empty properties for allocation through this mechanism.</w:t>
      </w:r>
    </w:p>
    <w:p w14:paraId="673BB4FB" w14:textId="77777777" w:rsidR="00EA5963" w:rsidRPr="00B53905" w:rsidRDefault="00EA5963" w:rsidP="00EA5963">
      <w:pPr>
        <w:autoSpaceDE w:val="0"/>
        <w:autoSpaceDN w:val="0"/>
        <w:adjustRightInd w:val="0"/>
        <w:jc w:val="center"/>
        <w:rPr>
          <w:rFonts w:eastAsia="Times New Roman" w:cs="Arial"/>
          <w:b/>
          <w:sz w:val="20"/>
          <w:szCs w:val="20"/>
          <w:lang w:eastAsia="en-GB"/>
        </w:rPr>
      </w:pPr>
    </w:p>
    <w:p w14:paraId="789AEDFA" w14:textId="77777777" w:rsidR="00822ED0" w:rsidRPr="00E31AE9" w:rsidRDefault="00EA5963" w:rsidP="005F506A">
      <w:pPr>
        <w:pStyle w:val="Heading1"/>
        <w:rPr>
          <w:rFonts w:eastAsia="Times New Roman"/>
          <w:lang w:val="en-GB"/>
        </w:rPr>
      </w:pPr>
      <w:r>
        <w:rPr>
          <w:rFonts w:eastAsia="Times New Roman"/>
          <w:lang w:val="en-GB"/>
        </w:rPr>
        <w:t>6</w:t>
      </w:r>
      <w:r w:rsidR="00822ED0" w:rsidRPr="00F42577">
        <w:rPr>
          <w:rFonts w:eastAsia="Times New Roman"/>
          <w:lang w:val="en-GB"/>
        </w:rPr>
        <w:tab/>
      </w:r>
      <w:r w:rsidR="00822ED0" w:rsidRPr="00E31AE9">
        <w:rPr>
          <w:rFonts w:eastAsia="Times New Roman"/>
          <w:lang w:val="en-GB"/>
        </w:rPr>
        <w:t>Links to Other Key Documents</w:t>
      </w:r>
    </w:p>
    <w:p w14:paraId="6AA88621" w14:textId="77777777" w:rsidR="00822ED0" w:rsidRDefault="00822ED0" w:rsidP="00822ED0">
      <w:pPr>
        <w:autoSpaceDE w:val="0"/>
        <w:autoSpaceDN w:val="0"/>
        <w:adjustRightInd w:val="0"/>
        <w:rPr>
          <w:rFonts w:eastAsia="Times New Roman" w:cs="Arial"/>
          <w:sz w:val="36"/>
          <w:szCs w:val="36"/>
          <w:lang w:val="en-GB"/>
        </w:rPr>
      </w:pPr>
    </w:p>
    <w:p w14:paraId="5E2E98FF" w14:textId="4F004D0E" w:rsidR="00EA5963" w:rsidRDefault="002A73B8" w:rsidP="00EA5963">
      <w:pPr>
        <w:autoSpaceDE w:val="0"/>
        <w:autoSpaceDN w:val="0"/>
        <w:adjustRightInd w:val="0"/>
        <w:rPr>
          <w:rFonts w:eastAsia="Times New Roman" w:cs="Arial"/>
          <w:lang w:val="en-GB"/>
        </w:rPr>
      </w:pPr>
      <w:r>
        <w:rPr>
          <w:rFonts w:eastAsia="Times New Roman" w:cs="Arial"/>
          <w:lang w:val="en-GB"/>
        </w:rPr>
        <w:t>QP 24 – Allocations Process</w:t>
      </w:r>
    </w:p>
    <w:p w14:paraId="599904CD" w14:textId="12D78642" w:rsidR="002A73B8" w:rsidRDefault="002A73B8" w:rsidP="00EA5963">
      <w:pPr>
        <w:autoSpaceDE w:val="0"/>
        <w:autoSpaceDN w:val="0"/>
        <w:adjustRightInd w:val="0"/>
        <w:rPr>
          <w:rFonts w:eastAsia="Times New Roman" w:cs="Arial"/>
          <w:lang w:val="en-GB"/>
        </w:rPr>
      </w:pPr>
      <w:r>
        <w:rPr>
          <w:rFonts w:eastAsia="Times New Roman" w:cs="Arial"/>
          <w:lang w:val="en-GB"/>
        </w:rPr>
        <w:t>POL20 – External Policy PPP Sub Regional allocations policy</w:t>
      </w:r>
    </w:p>
    <w:p w14:paraId="714659AE" w14:textId="6F070572" w:rsidR="002A73B8" w:rsidRPr="00B53905" w:rsidRDefault="002A73B8" w:rsidP="00EA5963">
      <w:pPr>
        <w:autoSpaceDE w:val="0"/>
        <w:autoSpaceDN w:val="0"/>
        <w:adjustRightInd w:val="0"/>
        <w:rPr>
          <w:rFonts w:eastAsia="Times New Roman" w:cs="Arial"/>
          <w:b/>
          <w:sz w:val="20"/>
          <w:szCs w:val="20"/>
          <w:lang w:eastAsia="en-GB"/>
        </w:rPr>
      </w:pPr>
      <w:r>
        <w:rPr>
          <w:rFonts w:eastAsia="Times New Roman" w:cs="Arial"/>
          <w:lang w:val="en-GB"/>
        </w:rPr>
        <w:t>PROC065 - Allocations</w:t>
      </w:r>
    </w:p>
    <w:p w14:paraId="3CB055E3" w14:textId="77777777" w:rsidR="00EA5963" w:rsidRDefault="00EA5963" w:rsidP="00EA5963">
      <w:pPr>
        <w:rPr>
          <w:rFonts w:eastAsia="Times New Roman" w:cs="Arial"/>
          <w:lang w:eastAsia="en-GB"/>
        </w:rPr>
      </w:pPr>
    </w:p>
    <w:p w14:paraId="53DBCAD8" w14:textId="77777777" w:rsidR="003838C5" w:rsidRDefault="003838C5">
      <w:pPr>
        <w:rPr>
          <w:rFonts w:eastAsia="Times New Roman" w:cs="Arial"/>
          <w:b/>
          <w:iCs/>
          <w:sz w:val="32"/>
          <w:szCs w:val="32"/>
        </w:rPr>
      </w:pPr>
      <w:r>
        <w:rPr>
          <w:rFonts w:eastAsia="Times New Roman" w:cs="Arial"/>
          <w:b/>
          <w:iCs/>
          <w:sz w:val="32"/>
          <w:szCs w:val="32"/>
        </w:rPr>
        <w:br w:type="page"/>
      </w:r>
    </w:p>
    <w:p w14:paraId="32019118" w14:textId="77777777" w:rsidR="00EA5963" w:rsidRPr="00EA5963" w:rsidRDefault="00EA5963" w:rsidP="005F506A">
      <w:pPr>
        <w:pStyle w:val="Heading1"/>
        <w:rPr>
          <w:rFonts w:eastAsia="Times New Roman"/>
        </w:rPr>
      </w:pPr>
      <w:r w:rsidRPr="00EA5963">
        <w:rPr>
          <w:rFonts w:eastAsia="Times New Roman"/>
        </w:rPr>
        <w:lastRenderedPageBreak/>
        <w:t>7</w:t>
      </w:r>
      <w:r w:rsidRPr="00EA5963">
        <w:rPr>
          <w:rFonts w:eastAsia="Times New Roman"/>
        </w:rPr>
        <w:tab/>
        <w:t xml:space="preserve">Governance </w:t>
      </w:r>
      <w:r>
        <w:rPr>
          <w:rFonts w:eastAsia="Times New Roman"/>
        </w:rPr>
        <w:t>of this P</w:t>
      </w:r>
      <w:r w:rsidRPr="00EA5963">
        <w:rPr>
          <w:rFonts w:eastAsia="Times New Roman"/>
        </w:rPr>
        <w:t>olicy</w:t>
      </w:r>
    </w:p>
    <w:p w14:paraId="01280A48" w14:textId="77777777" w:rsidR="00EA5963" w:rsidRPr="00244CB7" w:rsidRDefault="00EA5963" w:rsidP="00EA5963">
      <w:pPr>
        <w:rPr>
          <w:rFonts w:eastAsia="Times New Roman" w:cs="Arial"/>
          <w:b/>
          <w:i/>
          <w:iCs/>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24"/>
        <w:gridCol w:w="7406"/>
      </w:tblGrid>
      <w:tr w:rsidR="00EA5963" w:rsidRPr="00B53905" w14:paraId="42D1A36C" w14:textId="77777777" w:rsidTr="4AA0294F">
        <w:trPr>
          <w:trHeight w:val="537"/>
          <w:jc w:val="center"/>
        </w:trPr>
        <w:tc>
          <w:tcPr>
            <w:tcW w:w="1031" w:type="pct"/>
            <w:tcBorders>
              <w:top w:val="double" w:sz="4" w:space="0" w:color="auto"/>
              <w:left w:val="double" w:sz="4" w:space="0" w:color="auto"/>
              <w:bottom w:val="double" w:sz="4" w:space="0" w:color="auto"/>
              <w:right w:val="double" w:sz="4" w:space="0" w:color="auto"/>
            </w:tcBorders>
            <w:shd w:val="clear" w:color="auto" w:fill="E6E6E6"/>
            <w:hideMark/>
          </w:tcPr>
          <w:p w14:paraId="781F2759" w14:textId="77777777" w:rsidR="00EA5963" w:rsidRPr="009D1065" w:rsidRDefault="00EA5963" w:rsidP="009D1065">
            <w:pPr>
              <w:tabs>
                <w:tab w:val="left" w:pos="5130"/>
              </w:tabs>
              <w:jc w:val="left"/>
              <w:rPr>
                <w:rFonts w:eastAsia="Times New Roman" w:cs="Arial"/>
                <w:b/>
                <w:bCs/>
                <w:lang w:eastAsia="en-GB"/>
              </w:rPr>
            </w:pPr>
            <w:r w:rsidRPr="009D1065">
              <w:rPr>
                <w:rFonts w:eastAsia="Times New Roman" w:cs="Arial"/>
                <w:b/>
                <w:bCs/>
                <w:lang w:eastAsia="en-GB"/>
              </w:rPr>
              <w:t xml:space="preserve">Equality and Diversity </w:t>
            </w:r>
          </w:p>
        </w:tc>
        <w:tc>
          <w:tcPr>
            <w:tcW w:w="3969" w:type="pct"/>
            <w:tcBorders>
              <w:top w:val="double" w:sz="4" w:space="0" w:color="auto"/>
              <w:left w:val="double" w:sz="4" w:space="0" w:color="auto"/>
              <w:bottom w:val="double" w:sz="4" w:space="0" w:color="auto"/>
              <w:right w:val="double" w:sz="4" w:space="0" w:color="auto"/>
            </w:tcBorders>
            <w:hideMark/>
          </w:tcPr>
          <w:p w14:paraId="5E356E34" w14:textId="79690508" w:rsidR="00EA5963" w:rsidRPr="009D1065" w:rsidRDefault="002A73B8" w:rsidP="005B62AC">
            <w:pPr>
              <w:tabs>
                <w:tab w:val="left" w:pos="5130"/>
              </w:tabs>
              <w:rPr>
                <w:rFonts w:eastAsia="Times New Roman" w:cs="Arial"/>
                <w:bCs/>
                <w:lang w:eastAsia="en-GB"/>
              </w:rPr>
            </w:pPr>
            <w:r>
              <w:rPr>
                <w:rFonts w:eastAsia="Times New Roman" w:cs="Arial"/>
                <w:bCs/>
                <w:lang w:eastAsia="en-GB"/>
              </w:rPr>
              <w:t>The local lettings policy will adhere to the criteria previously agreed via the Sub Regional Allocations policy</w:t>
            </w:r>
          </w:p>
        </w:tc>
      </w:tr>
      <w:tr w:rsidR="005B62AC" w:rsidRPr="00B53905" w14:paraId="2FDCB0DA" w14:textId="77777777" w:rsidTr="4AA0294F">
        <w:trPr>
          <w:trHeight w:val="537"/>
          <w:jc w:val="center"/>
        </w:trPr>
        <w:tc>
          <w:tcPr>
            <w:tcW w:w="1031" w:type="pct"/>
            <w:tcBorders>
              <w:top w:val="double" w:sz="4" w:space="0" w:color="auto"/>
              <w:left w:val="double" w:sz="4" w:space="0" w:color="auto"/>
              <w:bottom w:val="double" w:sz="4" w:space="0" w:color="auto"/>
              <w:right w:val="double" w:sz="4" w:space="0" w:color="auto"/>
            </w:tcBorders>
            <w:shd w:val="clear" w:color="auto" w:fill="E6E6E6"/>
          </w:tcPr>
          <w:p w14:paraId="7F773A9A" w14:textId="77777777" w:rsidR="005B62AC" w:rsidRPr="009D1065" w:rsidRDefault="005B62AC" w:rsidP="009D1065">
            <w:pPr>
              <w:tabs>
                <w:tab w:val="left" w:pos="5130"/>
              </w:tabs>
              <w:jc w:val="left"/>
              <w:rPr>
                <w:rFonts w:eastAsia="Times New Roman" w:cs="Arial"/>
                <w:b/>
                <w:bCs/>
                <w:lang w:eastAsia="en-GB"/>
              </w:rPr>
            </w:pPr>
            <w:r w:rsidRPr="009D1065">
              <w:rPr>
                <w:rFonts w:eastAsia="Times New Roman" w:cs="Arial"/>
                <w:b/>
                <w:bCs/>
                <w:lang w:eastAsia="en-GB"/>
              </w:rPr>
              <w:t xml:space="preserve">Financial and </w:t>
            </w:r>
            <w:r w:rsidR="000F577A" w:rsidRPr="009D1065">
              <w:rPr>
                <w:rFonts w:eastAsia="Times New Roman" w:cs="Arial"/>
                <w:b/>
                <w:bCs/>
                <w:lang w:eastAsia="en-GB"/>
              </w:rPr>
              <w:t xml:space="preserve">Links to </w:t>
            </w:r>
            <w:r w:rsidRPr="009D1065">
              <w:rPr>
                <w:rFonts w:eastAsia="Times New Roman" w:cs="Arial"/>
                <w:b/>
                <w:bCs/>
                <w:lang w:eastAsia="en-GB"/>
              </w:rPr>
              <w:t>VfM</w:t>
            </w:r>
          </w:p>
        </w:tc>
        <w:tc>
          <w:tcPr>
            <w:tcW w:w="3969" w:type="pct"/>
            <w:tcBorders>
              <w:top w:val="double" w:sz="4" w:space="0" w:color="auto"/>
              <w:left w:val="double" w:sz="4" w:space="0" w:color="auto"/>
              <w:bottom w:val="double" w:sz="4" w:space="0" w:color="auto"/>
              <w:right w:val="double" w:sz="4" w:space="0" w:color="auto"/>
            </w:tcBorders>
          </w:tcPr>
          <w:p w14:paraId="1C101404" w14:textId="5EF377B9" w:rsidR="005B62AC" w:rsidRPr="009D1065" w:rsidRDefault="002A73B8" w:rsidP="005B62AC">
            <w:pPr>
              <w:rPr>
                <w:rFonts w:eastAsia="Times New Roman" w:cs="Arial"/>
                <w:bCs/>
                <w:lang w:eastAsia="en-GB"/>
              </w:rPr>
            </w:pPr>
            <w:r>
              <w:rPr>
                <w:rFonts w:eastAsia="Times New Roman" w:cs="Arial"/>
                <w:bCs/>
                <w:lang w:eastAsia="en-GB"/>
              </w:rPr>
              <w:t>Offering decants an alternative property will reduce possible court costs, also creating a sustainable community will reduce voids and associated cots</w:t>
            </w:r>
          </w:p>
        </w:tc>
      </w:tr>
      <w:tr w:rsidR="005B62AC" w:rsidRPr="00B53905" w14:paraId="2FDD76A1" w14:textId="77777777" w:rsidTr="4AA0294F">
        <w:trPr>
          <w:trHeight w:val="537"/>
          <w:jc w:val="center"/>
        </w:trPr>
        <w:tc>
          <w:tcPr>
            <w:tcW w:w="1031" w:type="pct"/>
            <w:tcBorders>
              <w:top w:val="double" w:sz="4" w:space="0" w:color="auto"/>
              <w:left w:val="double" w:sz="4" w:space="0" w:color="auto"/>
              <w:bottom w:val="double" w:sz="4" w:space="0" w:color="auto"/>
              <w:right w:val="double" w:sz="4" w:space="0" w:color="auto"/>
            </w:tcBorders>
            <w:shd w:val="clear" w:color="auto" w:fill="E6E6E6"/>
          </w:tcPr>
          <w:p w14:paraId="4079550A" w14:textId="77777777" w:rsidR="005B62AC" w:rsidRPr="009D1065" w:rsidRDefault="005B62AC" w:rsidP="009D1065">
            <w:pPr>
              <w:tabs>
                <w:tab w:val="left" w:pos="5130"/>
              </w:tabs>
              <w:jc w:val="left"/>
              <w:rPr>
                <w:rFonts w:eastAsia="Times New Roman" w:cs="Arial"/>
                <w:b/>
                <w:bCs/>
                <w:lang w:eastAsia="en-GB"/>
              </w:rPr>
            </w:pPr>
            <w:r w:rsidRPr="009D1065">
              <w:rPr>
                <w:rFonts w:eastAsia="Times New Roman" w:cs="Arial"/>
                <w:b/>
                <w:bCs/>
                <w:lang w:eastAsia="en-GB"/>
              </w:rPr>
              <w:t>Privacy and Data Protection</w:t>
            </w:r>
          </w:p>
        </w:tc>
        <w:tc>
          <w:tcPr>
            <w:tcW w:w="3969" w:type="pct"/>
            <w:tcBorders>
              <w:top w:val="double" w:sz="4" w:space="0" w:color="auto"/>
              <w:left w:val="double" w:sz="4" w:space="0" w:color="auto"/>
              <w:bottom w:val="double" w:sz="4" w:space="0" w:color="auto"/>
              <w:right w:val="double" w:sz="4" w:space="0" w:color="auto"/>
            </w:tcBorders>
          </w:tcPr>
          <w:p w14:paraId="09C0432B" w14:textId="6641A176" w:rsidR="005B62AC" w:rsidRPr="009D1065" w:rsidRDefault="002A73B8" w:rsidP="005B62AC">
            <w:pPr>
              <w:rPr>
                <w:rFonts w:cs="Arial"/>
              </w:rPr>
            </w:pPr>
            <w:r>
              <w:rPr>
                <w:rFonts w:cs="Arial"/>
              </w:rPr>
              <w:t>Current Data protection protocol will be adhered to</w:t>
            </w:r>
          </w:p>
        </w:tc>
      </w:tr>
      <w:tr w:rsidR="005B62AC" w:rsidRPr="00B53905" w14:paraId="524C5149" w14:textId="77777777" w:rsidTr="4AA0294F">
        <w:trPr>
          <w:trHeight w:val="537"/>
          <w:jc w:val="center"/>
        </w:trPr>
        <w:tc>
          <w:tcPr>
            <w:tcW w:w="1031" w:type="pct"/>
            <w:tcBorders>
              <w:top w:val="double" w:sz="4" w:space="0" w:color="auto"/>
              <w:left w:val="double" w:sz="4" w:space="0" w:color="auto"/>
              <w:bottom w:val="double" w:sz="4" w:space="0" w:color="auto"/>
              <w:right w:val="double" w:sz="4" w:space="0" w:color="auto"/>
            </w:tcBorders>
            <w:shd w:val="clear" w:color="auto" w:fill="E6E6E6"/>
          </w:tcPr>
          <w:p w14:paraId="5E1CC631" w14:textId="77777777" w:rsidR="005B62AC" w:rsidRPr="009D1065" w:rsidRDefault="005B62AC" w:rsidP="009D1065">
            <w:pPr>
              <w:tabs>
                <w:tab w:val="center" w:pos="854"/>
              </w:tabs>
              <w:jc w:val="left"/>
              <w:rPr>
                <w:rFonts w:eastAsia="Times New Roman" w:cs="Arial"/>
                <w:b/>
                <w:bCs/>
                <w:lang w:eastAsia="en-GB"/>
              </w:rPr>
            </w:pPr>
            <w:r w:rsidRPr="009D1065">
              <w:rPr>
                <w:rFonts w:eastAsia="Times New Roman" w:cs="Arial"/>
                <w:b/>
                <w:bCs/>
                <w:lang w:eastAsia="en-GB"/>
              </w:rPr>
              <w:t>Health and Safety</w:t>
            </w:r>
          </w:p>
        </w:tc>
        <w:tc>
          <w:tcPr>
            <w:tcW w:w="3969" w:type="pct"/>
            <w:tcBorders>
              <w:top w:val="double" w:sz="4" w:space="0" w:color="auto"/>
              <w:left w:val="double" w:sz="4" w:space="0" w:color="auto"/>
              <w:bottom w:val="double" w:sz="4" w:space="0" w:color="auto"/>
              <w:right w:val="double" w:sz="4" w:space="0" w:color="auto"/>
            </w:tcBorders>
          </w:tcPr>
          <w:p w14:paraId="10EC3F7D" w14:textId="3E1CDA3F" w:rsidR="005B62AC" w:rsidRPr="009D1065" w:rsidRDefault="002A73B8" w:rsidP="005B62AC">
            <w:pPr>
              <w:rPr>
                <w:rFonts w:cs="Arial"/>
              </w:rPr>
            </w:pPr>
            <w:r>
              <w:rPr>
                <w:rFonts w:cs="Arial"/>
              </w:rPr>
              <w:t>No impact on Health and Safety</w:t>
            </w:r>
          </w:p>
        </w:tc>
      </w:tr>
      <w:tr w:rsidR="00EA5963" w:rsidRPr="00B53905" w14:paraId="47259DCE" w14:textId="77777777" w:rsidTr="4AA0294F">
        <w:trPr>
          <w:trHeight w:val="537"/>
          <w:jc w:val="center"/>
        </w:trPr>
        <w:tc>
          <w:tcPr>
            <w:tcW w:w="1031" w:type="pct"/>
            <w:tcBorders>
              <w:top w:val="double" w:sz="4" w:space="0" w:color="auto"/>
              <w:left w:val="double" w:sz="4" w:space="0" w:color="auto"/>
              <w:bottom w:val="double" w:sz="4" w:space="0" w:color="auto"/>
              <w:right w:val="double" w:sz="4" w:space="0" w:color="auto"/>
            </w:tcBorders>
            <w:shd w:val="clear" w:color="auto" w:fill="E6E6E6"/>
            <w:hideMark/>
          </w:tcPr>
          <w:p w14:paraId="54D7442C" w14:textId="77777777" w:rsidR="00EA5963" w:rsidRPr="009D1065" w:rsidRDefault="000F577A" w:rsidP="009D1065">
            <w:pPr>
              <w:tabs>
                <w:tab w:val="left" w:pos="5130"/>
              </w:tabs>
              <w:jc w:val="left"/>
              <w:rPr>
                <w:rFonts w:eastAsia="Times New Roman" w:cs="Arial"/>
                <w:b/>
                <w:bCs/>
                <w:lang w:eastAsia="en-GB"/>
              </w:rPr>
            </w:pPr>
            <w:r w:rsidRPr="009D1065">
              <w:rPr>
                <w:rFonts w:eastAsia="Times New Roman" w:cs="Arial"/>
                <w:b/>
                <w:bCs/>
                <w:lang w:eastAsia="en-GB"/>
              </w:rPr>
              <w:t>Development and</w:t>
            </w:r>
            <w:r w:rsidR="00EA5963" w:rsidRPr="009D1065">
              <w:rPr>
                <w:rFonts w:eastAsia="Times New Roman" w:cs="Arial"/>
                <w:b/>
                <w:bCs/>
                <w:lang w:eastAsia="en-GB"/>
              </w:rPr>
              <w:t xml:space="preserve"> Consultation</w:t>
            </w:r>
          </w:p>
        </w:tc>
        <w:tc>
          <w:tcPr>
            <w:tcW w:w="3969" w:type="pct"/>
            <w:tcBorders>
              <w:top w:val="double" w:sz="4" w:space="0" w:color="auto"/>
              <w:left w:val="double" w:sz="4" w:space="0" w:color="auto"/>
              <w:bottom w:val="double" w:sz="4" w:space="0" w:color="auto"/>
              <w:right w:val="double" w:sz="4" w:space="0" w:color="auto"/>
            </w:tcBorders>
          </w:tcPr>
          <w:p w14:paraId="615F1FFA" w14:textId="404F5BA3" w:rsidR="006758FA" w:rsidRPr="009D1065" w:rsidRDefault="00EA5963" w:rsidP="006758FA">
            <w:pPr>
              <w:tabs>
                <w:tab w:val="left" w:pos="5130"/>
              </w:tabs>
              <w:rPr>
                <w:rFonts w:eastAsia="Times New Roman" w:cs="Arial"/>
                <w:bCs/>
                <w:lang w:eastAsia="en-GB"/>
              </w:rPr>
            </w:pPr>
            <w:r w:rsidRPr="009D1065">
              <w:rPr>
                <w:rFonts w:eastAsia="Times New Roman" w:cs="Arial"/>
                <w:bCs/>
                <w:lang w:eastAsia="en-GB"/>
              </w:rPr>
              <w:t xml:space="preserve">The </w:t>
            </w:r>
            <w:r w:rsidR="006758FA">
              <w:rPr>
                <w:rFonts w:eastAsia="Times New Roman" w:cs="Arial"/>
                <w:bCs/>
                <w:lang w:eastAsia="en-GB"/>
              </w:rPr>
              <w:t>local lettings plan is a continuation of the local lettings plan from the Altbridge development, and therefore no supplementary consultation was needed</w:t>
            </w:r>
          </w:p>
          <w:p w14:paraId="1B7A8AA5" w14:textId="42665179" w:rsidR="00EA5963" w:rsidRPr="009D1065" w:rsidRDefault="00EA5963" w:rsidP="00DA24D7">
            <w:pPr>
              <w:tabs>
                <w:tab w:val="left" w:pos="5130"/>
              </w:tabs>
              <w:rPr>
                <w:rFonts w:eastAsia="Times New Roman" w:cs="Arial"/>
                <w:bCs/>
                <w:lang w:eastAsia="en-GB"/>
              </w:rPr>
            </w:pPr>
          </w:p>
        </w:tc>
      </w:tr>
      <w:tr w:rsidR="005B62AC" w:rsidRPr="00B53905" w14:paraId="4461C79F" w14:textId="77777777" w:rsidTr="4AA0294F">
        <w:trPr>
          <w:trHeight w:val="537"/>
          <w:jc w:val="center"/>
        </w:trPr>
        <w:tc>
          <w:tcPr>
            <w:tcW w:w="1031" w:type="pct"/>
            <w:tcBorders>
              <w:top w:val="double" w:sz="4" w:space="0" w:color="auto"/>
              <w:left w:val="double" w:sz="4" w:space="0" w:color="auto"/>
              <w:bottom w:val="double" w:sz="4" w:space="0" w:color="auto"/>
              <w:right w:val="double" w:sz="4" w:space="0" w:color="auto"/>
            </w:tcBorders>
            <w:shd w:val="clear" w:color="auto" w:fill="E6E6E6"/>
          </w:tcPr>
          <w:p w14:paraId="0923B4B7" w14:textId="77777777" w:rsidR="005B62AC" w:rsidRPr="009D1065" w:rsidRDefault="005B62AC" w:rsidP="009D1065">
            <w:pPr>
              <w:tabs>
                <w:tab w:val="left" w:pos="5130"/>
              </w:tabs>
              <w:jc w:val="left"/>
              <w:rPr>
                <w:rFonts w:eastAsia="Times New Roman" w:cs="Arial"/>
                <w:b/>
                <w:bCs/>
                <w:lang w:eastAsia="en-GB"/>
              </w:rPr>
            </w:pPr>
            <w:r w:rsidRPr="009D1065">
              <w:rPr>
                <w:rFonts w:eastAsia="Times New Roman" w:cs="Arial"/>
                <w:b/>
                <w:bCs/>
                <w:lang w:eastAsia="en-GB"/>
              </w:rPr>
              <w:t>Customer Profiles and Accessing Services Data</w:t>
            </w:r>
          </w:p>
        </w:tc>
        <w:tc>
          <w:tcPr>
            <w:tcW w:w="3969" w:type="pct"/>
            <w:tcBorders>
              <w:top w:val="double" w:sz="4" w:space="0" w:color="auto"/>
              <w:left w:val="double" w:sz="4" w:space="0" w:color="auto"/>
              <w:bottom w:val="double" w:sz="4" w:space="0" w:color="auto"/>
              <w:right w:val="double" w:sz="4" w:space="0" w:color="auto"/>
            </w:tcBorders>
          </w:tcPr>
          <w:p w14:paraId="39D891E5" w14:textId="71CEF31D" w:rsidR="005B62AC" w:rsidRPr="009D1065" w:rsidRDefault="006758FA" w:rsidP="00DA24D7">
            <w:pPr>
              <w:tabs>
                <w:tab w:val="left" w:pos="5130"/>
              </w:tabs>
              <w:rPr>
                <w:rFonts w:eastAsia="Times New Roman" w:cs="Arial"/>
                <w:bCs/>
                <w:lang w:eastAsia="en-GB"/>
              </w:rPr>
            </w:pPr>
            <w:r>
              <w:rPr>
                <w:rFonts w:eastAsia="Times New Roman" w:cs="Arial"/>
                <w:bCs/>
                <w:lang w:eastAsia="en-GB"/>
              </w:rPr>
              <w:t>Profiling data of applicants will be used to determine eligibility for properties.</w:t>
            </w:r>
          </w:p>
        </w:tc>
      </w:tr>
      <w:tr w:rsidR="00EA5963" w:rsidRPr="00B53905" w14:paraId="392C1780" w14:textId="77777777" w:rsidTr="4AA0294F">
        <w:trPr>
          <w:trHeight w:val="537"/>
          <w:jc w:val="center"/>
        </w:trPr>
        <w:tc>
          <w:tcPr>
            <w:tcW w:w="1031" w:type="pct"/>
            <w:tcBorders>
              <w:top w:val="double" w:sz="4" w:space="0" w:color="auto"/>
              <w:left w:val="double" w:sz="4" w:space="0" w:color="auto"/>
              <w:bottom w:val="double" w:sz="4" w:space="0" w:color="auto"/>
              <w:right w:val="double" w:sz="4" w:space="0" w:color="auto"/>
            </w:tcBorders>
            <w:shd w:val="clear" w:color="auto" w:fill="E6E6E6"/>
            <w:hideMark/>
          </w:tcPr>
          <w:p w14:paraId="7633F8E6" w14:textId="77777777" w:rsidR="00EA5963" w:rsidRPr="009D1065" w:rsidRDefault="00EA5963" w:rsidP="009D1065">
            <w:pPr>
              <w:tabs>
                <w:tab w:val="left" w:pos="5130"/>
              </w:tabs>
              <w:jc w:val="left"/>
              <w:rPr>
                <w:rFonts w:eastAsia="Times New Roman" w:cs="Arial"/>
                <w:b/>
                <w:bCs/>
                <w:lang w:eastAsia="en-GB"/>
              </w:rPr>
            </w:pPr>
            <w:r w:rsidRPr="009D1065">
              <w:rPr>
                <w:rFonts w:eastAsia="Times New Roman" w:cs="Arial"/>
                <w:b/>
                <w:bCs/>
                <w:lang w:eastAsia="en-GB"/>
              </w:rPr>
              <w:t xml:space="preserve">Monitoring and Review </w:t>
            </w:r>
          </w:p>
        </w:tc>
        <w:tc>
          <w:tcPr>
            <w:tcW w:w="3969" w:type="pct"/>
            <w:tcBorders>
              <w:top w:val="double" w:sz="4" w:space="0" w:color="auto"/>
              <w:left w:val="double" w:sz="4" w:space="0" w:color="auto"/>
              <w:bottom w:val="double" w:sz="4" w:space="0" w:color="auto"/>
              <w:right w:val="double" w:sz="4" w:space="0" w:color="auto"/>
            </w:tcBorders>
          </w:tcPr>
          <w:p w14:paraId="42E07D1A" w14:textId="3F281FF5" w:rsidR="00EA5963" w:rsidRPr="00427C3E" w:rsidRDefault="006758FA" w:rsidP="00427C3E">
            <w:pPr>
              <w:autoSpaceDE w:val="0"/>
              <w:autoSpaceDN w:val="0"/>
              <w:adjustRightInd w:val="0"/>
              <w:rPr>
                <w:rFonts w:eastAsia="Times New Roman" w:cs="Arial"/>
                <w:color w:val="FF0000"/>
                <w:lang w:val="en-GB"/>
              </w:rPr>
            </w:pPr>
            <w:r w:rsidRPr="006758FA">
              <w:rPr>
                <w:rFonts w:eastAsia="Times New Roman" w:cs="Arial"/>
                <w:lang w:val="en-GB"/>
              </w:rPr>
              <w:t>Allocations data is reported at EMT and will be monitored by Allocations Lead</w:t>
            </w:r>
          </w:p>
        </w:tc>
      </w:tr>
      <w:tr w:rsidR="00EA5963" w:rsidRPr="00B53905" w14:paraId="383CBB6F" w14:textId="77777777" w:rsidTr="4AA0294F">
        <w:trPr>
          <w:trHeight w:val="537"/>
          <w:jc w:val="center"/>
        </w:trPr>
        <w:tc>
          <w:tcPr>
            <w:tcW w:w="1031" w:type="pct"/>
            <w:tcBorders>
              <w:top w:val="double" w:sz="4" w:space="0" w:color="auto"/>
              <w:left w:val="double" w:sz="4" w:space="0" w:color="auto"/>
              <w:bottom w:val="double" w:sz="4" w:space="0" w:color="auto"/>
              <w:right w:val="double" w:sz="4" w:space="0" w:color="auto"/>
            </w:tcBorders>
            <w:shd w:val="clear" w:color="auto" w:fill="E6E6E6"/>
            <w:hideMark/>
          </w:tcPr>
          <w:p w14:paraId="6B8E6728" w14:textId="77777777" w:rsidR="00EA5963" w:rsidRPr="009D1065" w:rsidRDefault="005B62AC" w:rsidP="009D1065">
            <w:pPr>
              <w:tabs>
                <w:tab w:val="left" w:pos="5130"/>
              </w:tabs>
              <w:jc w:val="left"/>
              <w:rPr>
                <w:rFonts w:eastAsia="Times New Roman" w:cs="Arial"/>
                <w:b/>
                <w:bCs/>
                <w:lang w:eastAsia="en-GB"/>
              </w:rPr>
            </w:pPr>
            <w:r w:rsidRPr="009D1065">
              <w:rPr>
                <w:rFonts w:eastAsia="Times New Roman" w:cs="Arial"/>
                <w:b/>
                <w:bCs/>
                <w:lang w:eastAsia="en-GB"/>
              </w:rPr>
              <w:t xml:space="preserve">Roles &amp; </w:t>
            </w:r>
            <w:r w:rsidR="00EA5963" w:rsidRPr="009D1065">
              <w:rPr>
                <w:rFonts w:eastAsia="Times New Roman" w:cs="Arial"/>
                <w:b/>
                <w:bCs/>
                <w:lang w:eastAsia="en-GB"/>
              </w:rPr>
              <w:t xml:space="preserve">Responsibility </w:t>
            </w:r>
          </w:p>
        </w:tc>
        <w:tc>
          <w:tcPr>
            <w:tcW w:w="3969" w:type="pct"/>
            <w:tcBorders>
              <w:top w:val="double" w:sz="4" w:space="0" w:color="auto"/>
              <w:left w:val="double" w:sz="4" w:space="0" w:color="auto"/>
              <w:bottom w:val="double" w:sz="4" w:space="0" w:color="auto"/>
              <w:right w:val="double" w:sz="4" w:space="0" w:color="auto"/>
            </w:tcBorders>
          </w:tcPr>
          <w:p w14:paraId="51186BAE" w14:textId="406D100F" w:rsidR="006758FA" w:rsidRDefault="006758FA" w:rsidP="006758FA">
            <w:pPr>
              <w:rPr>
                <w:rFonts w:eastAsia="Times New Roman" w:cs="Arial"/>
                <w:bCs/>
                <w:lang w:eastAsia="en-GB"/>
              </w:rPr>
            </w:pPr>
            <w:r>
              <w:rPr>
                <w:rFonts w:eastAsia="Times New Roman" w:cs="Arial"/>
                <w:bCs/>
                <w:lang w:eastAsia="en-GB"/>
              </w:rPr>
              <w:t>Croxteth Customer Lead will ensure delivery of the local lettings plan</w:t>
            </w:r>
          </w:p>
          <w:p w14:paraId="330DD941" w14:textId="136B2A20" w:rsidR="006758FA" w:rsidRPr="009D1065" w:rsidRDefault="006758FA" w:rsidP="006758FA">
            <w:pPr>
              <w:rPr>
                <w:rFonts w:eastAsia="Times New Roman" w:cs="Arial"/>
                <w:bCs/>
                <w:lang w:eastAsia="en-GB"/>
              </w:rPr>
            </w:pPr>
            <w:r>
              <w:rPr>
                <w:rFonts w:eastAsia="Times New Roman" w:cs="Arial"/>
                <w:bCs/>
                <w:lang w:eastAsia="en-GB"/>
              </w:rPr>
              <w:t>Allocation Lead is responsible for PI</w:t>
            </w:r>
          </w:p>
          <w:p w14:paraId="4A7CFE83" w14:textId="00205537" w:rsidR="00EA5963" w:rsidRPr="009D1065" w:rsidRDefault="00EA5963" w:rsidP="005B62AC">
            <w:pPr>
              <w:tabs>
                <w:tab w:val="left" w:pos="5130"/>
              </w:tabs>
              <w:rPr>
                <w:rFonts w:eastAsia="Times New Roman" w:cs="Arial"/>
                <w:bCs/>
                <w:lang w:eastAsia="en-GB"/>
              </w:rPr>
            </w:pPr>
          </w:p>
        </w:tc>
      </w:tr>
    </w:tbl>
    <w:p w14:paraId="0CEF74FB" w14:textId="77777777" w:rsidR="00EA5963" w:rsidRDefault="00EA5963" w:rsidP="006758FA">
      <w:pPr>
        <w:rPr>
          <w:rFonts w:eastAsia="Times New Roman" w:cs="Arial"/>
          <w:b/>
          <w:lang w:eastAsia="en-GB"/>
        </w:rPr>
      </w:pPr>
    </w:p>
    <w:p w14:paraId="5276E766" w14:textId="113BCC6B" w:rsidR="00EA5963" w:rsidRPr="002A73B8" w:rsidRDefault="00EA5963" w:rsidP="002A73B8">
      <w:pPr>
        <w:rPr>
          <w:rFonts w:eastAsia="Times New Roman" w:cs="Arial"/>
          <w:b/>
          <w:lang w:eastAsia="en-GB"/>
        </w:rPr>
      </w:pPr>
    </w:p>
    <w:sectPr w:rsidR="00EA5963" w:rsidRPr="002A73B8" w:rsidSect="00C57ADE">
      <w:headerReference w:type="even" r:id="rId12"/>
      <w:headerReference w:type="default" r:id="rId13"/>
      <w:footerReference w:type="even" r:id="rId14"/>
      <w:footerReference w:type="default" r:id="rId15"/>
      <w:headerReference w:type="first" r:id="rId16"/>
      <w:footerReference w:type="first" r:id="rId17"/>
      <w:pgSz w:w="12240" w:h="15840"/>
      <w:pgMar w:top="1276" w:right="1440" w:bottom="1135"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FFFBE" w14:textId="77777777" w:rsidR="00C57ADE" w:rsidRDefault="00C57ADE" w:rsidP="002203A8">
      <w:r>
        <w:separator/>
      </w:r>
    </w:p>
  </w:endnote>
  <w:endnote w:type="continuationSeparator" w:id="0">
    <w:p w14:paraId="241F229F" w14:textId="77777777" w:rsidR="00C57ADE" w:rsidRDefault="00C57ADE" w:rsidP="002203A8">
      <w:r>
        <w:continuationSeparator/>
      </w:r>
    </w:p>
  </w:endnote>
  <w:endnote w:type="continuationNotice" w:id="1">
    <w:p w14:paraId="1B4F630F" w14:textId="77777777" w:rsidR="00C57ADE" w:rsidRDefault="00C57A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F4132" w14:textId="77777777" w:rsidR="004A74D2" w:rsidRDefault="004A7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5B92" w14:textId="5B9D6C22" w:rsidR="00D103AD" w:rsidRPr="00977844" w:rsidRDefault="00D103AD" w:rsidP="00977844">
    <w:pPr>
      <w:pStyle w:val="Footer"/>
      <w:tabs>
        <w:tab w:val="center" w:pos="4680"/>
      </w:tabs>
      <w:jc w:val="center"/>
      <w:rPr>
        <w:rFonts w:cs="Arial"/>
        <w:b/>
        <w:bCs/>
        <w:sz w:val="20"/>
      </w:rPr>
    </w:pPr>
    <w:r w:rsidRPr="00977844">
      <w:rPr>
        <w:rFonts w:cs="Arial"/>
        <w:sz w:val="20"/>
      </w:rPr>
      <w:t xml:space="preserve">Page </w:t>
    </w:r>
    <w:r w:rsidRPr="00977844">
      <w:rPr>
        <w:rFonts w:cs="Arial"/>
        <w:b/>
        <w:bCs/>
        <w:sz w:val="20"/>
      </w:rPr>
      <w:fldChar w:fldCharType="begin"/>
    </w:r>
    <w:r w:rsidRPr="00977844">
      <w:rPr>
        <w:rFonts w:cs="Arial"/>
        <w:b/>
        <w:bCs/>
        <w:sz w:val="20"/>
      </w:rPr>
      <w:instrText xml:space="preserve"> PAGE  \* Arabic  \* MERGEFORMAT </w:instrText>
    </w:r>
    <w:r w:rsidRPr="00977844">
      <w:rPr>
        <w:rFonts w:cs="Arial"/>
        <w:b/>
        <w:bCs/>
        <w:sz w:val="20"/>
      </w:rPr>
      <w:fldChar w:fldCharType="separate"/>
    </w:r>
    <w:r w:rsidRPr="00977844">
      <w:rPr>
        <w:rFonts w:cs="Arial"/>
        <w:b/>
        <w:bCs/>
        <w:noProof/>
        <w:sz w:val="20"/>
      </w:rPr>
      <w:t>5</w:t>
    </w:r>
    <w:r w:rsidRPr="00977844">
      <w:rPr>
        <w:rFonts w:cs="Arial"/>
        <w:b/>
        <w:bCs/>
        <w:sz w:val="20"/>
      </w:rPr>
      <w:fldChar w:fldCharType="end"/>
    </w:r>
    <w:r w:rsidRPr="00977844">
      <w:rPr>
        <w:rFonts w:cs="Arial"/>
        <w:sz w:val="20"/>
      </w:rPr>
      <w:t xml:space="preserve"> of </w:t>
    </w:r>
    <w:r w:rsidRPr="00977844">
      <w:rPr>
        <w:rFonts w:cs="Arial"/>
        <w:b/>
        <w:bCs/>
        <w:sz w:val="20"/>
      </w:rPr>
      <w:fldChar w:fldCharType="begin"/>
    </w:r>
    <w:r w:rsidRPr="00977844">
      <w:rPr>
        <w:rFonts w:cs="Arial"/>
        <w:b/>
        <w:bCs/>
        <w:sz w:val="20"/>
      </w:rPr>
      <w:instrText xml:space="preserve"> NUMPAGES  \* Arabic  \* MERGEFORMAT </w:instrText>
    </w:r>
    <w:r w:rsidRPr="00977844">
      <w:rPr>
        <w:rFonts w:cs="Arial"/>
        <w:b/>
        <w:bCs/>
        <w:sz w:val="20"/>
      </w:rPr>
      <w:fldChar w:fldCharType="separate"/>
    </w:r>
    <w:r w:rsidRPr="00977844">
      <w:rPr>
        <w:rFonts w:cs="Arial"/>
        <w:b/>
        <w:bCs/>
        <w:noProof/>
        <w:sz w:val="20"/>
      </w:rPr>
      <w:t>5</w:t>
    </w:r>
    <w:r w:rsidRPr="00977844">
      <w:rPr>
        <w:rFonts w:cs="Arial"/>
        <w:b/>
        <w:bCs/>
        <w:sz w:val="20"/>
      </w:rPr>
      <w:fldChar w:fldCharType="end"/>
    </w:r>
  </w:p>
  <w:p w14:paraId="414A426C" w14:textId="69B720F4" w:rsidR="00D103AD" w:rsidRPr="00977844" w:rsidRDefault="00D103AD" w:rsidP="00977844">
    <w:pPr>
      <w:pStyle w:val="Footer"/>
      <w:tabs>
        <w:tab w:val="center" w:pos="4680"/>
      </w:tabs>
      <w:jc w:val="center"/>
      <w:rPr>
        <w:rFonts w:cs="Arial"/>
        <w:bCs/>
        <w:sz w:val="20"/>
      </w:rPr>
    </w:pPr>
    <w:r w:rsidRPr="00977844">
      <w:rPr>
        <w:rFonts w:cs="Arial"/>
        <w:b/>
        <w:bCs/>
        <w:sz w:val="20"/>
      </w:rPr>
      <w:t xml:space="preserve">QR 278 </w:t>
    </w:r>
    <w:r w:rsidR="004A74D2">
      <w:rPr>
        <w:rFonts w:cs="Arial"/>
        <w:bCs/>
        <w:sz w:val="20"/>
      </w:rPr>
      <w:t xml:space="preserve">18/11/19  </w:t>
    </w:r>
    <w:r w:rsidRPr="00977844">
      <w:rPr>
        <w:rFonts w:cs="Arial"/>
        <w:bCs/>
        <w:sz w:val="20"/>
      </w:rPr>
      <w:t xml:space="preserve"> </w:t>
    </w:r>
    <w:r w:rsidRPr="00977844">
      <w:rPr>
        <w:rFonts w:cs="Arial"/>
        <w:b/>
        <w:bCs/>
        <w:sz w:val="20"/>
      </w:rPr>
      <w:t xml:space="preserve">Version </w:t>
    </w:r>
    <w:r w:rsidR="004A74D2">
      <w:rPr>
        <w:rFonts w:cs="Arial"/>
        <w:b/>
        <w:bCs/>
        <w:sz w:val="20"/>
      </w:rPr>
      <w:t>4</w:t>
    </w:r>
    <w:r w:rsidRPr="00977844">
      <w:rPr>
        <w:rFonts w:cs="Arial"/>
        <w:b/>
        <w:bCs/>
        <w:sz w:val="20"/>
      </w:rPr>
      <w:t xml:space="preserve"> </w:t>
    </w:r>
    <w:r w:rsidRPr="00977844">
      <w:rPr>
        <w:rFonts w:cs="Arial"/>
        <w:bCs/>
        <w:sz w:val="20"/>
      </w:rPr>
      <w:t>Last reviewed: 20/06/18</w:t>
    </w:r>
  </w:p>
  <w:p w14:paraId="5313010B" w14:textId="1732926B" w:rsidR="00D103AD" w:rsidRPr="00977844" w:rsidRDefault="00D103AD" w:rsidP="00977844">
    <w:pPr>
      <w:pStyle w:val="Footer"/>
      <w:tabs>
        <w:tab w:val="center" w:pos="4680"/>
      </w:tabs>
      <w:jc w:val="center"/>
      <w:rPr>
        <w:rFonts w:cs="Arial"/>
        <w:bCs/>
        <w:sz w:val="20"/>
      </w:rPr>
    </w:pPr>
    <w:r w:rsidRPr="00977844">
      <w:rPr>
        <w:rFonts w:cs="Arial"/>
        <w:bCs/>
        <w:sz w:val="20"/>
      </w:rPr>
      <w:t>Owner: GAR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68C3" w14:textId="77777777" w:rsidR="004A74D2" w:rsidRDefault="004A7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BB1B" w14:textId="77777777" w:rsidR="00C57ADE" w:rsidRDefault="00C57ADE" w:rsidP="002203A8">
      <w:r>
        <w:separator/>
      </w:r>
    </w:p>
  </w:footnote>
  <w:footnote w:type="continuationSeparator" w:id="0">
    <w:p w14:paraId="1D6C90BC" w14:textId="77777777" w:rsidR="00C57ADE" w:rsidRDefault="00C57ADE" w:rsidP="002203A8">
      <w:r>
        <w:continuationSeparator/>
      </w:r>
    </w:p>
  </w:footnote>
  <w:footnote w:type="continuationNotice" w:id="1">
    <w:p w14:paraId="3AF54D3D" w14:textId="77777777" w:rsidR="00C57ADE" w:rsidRDefault="00C57A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34EA" w14:textId="4BAED471" w:rsidR="004A74D2" w:rsidRDefault="006346ED">
    <w:pPr>
      <w:pStyle w:val="Header"/>
    </w:pPr>
    <w:r>
      <w:rPr>
        <w:noProof/>
      </w:rPr>
      <mc:AlternateContent>
        <mc:Choice Requires="wps">
          <w:drawing>
            <wp:anchor distT="0" distB="0" distL="114300" distR="114300" simplePos="0" relativeHeight="251659264" behindDoc="1" locked="0" layoutInCell="1" allowOverlap="1" wp14:anchorId="0D18DDD4" wp14:editId="4D6696B9">
              <wp:simplePos x="635" y="635"/>
              <wp:positionH relativeFrom="margin">
                <wp:align>center</wp:align>
              </wp:positionH>
              <wp:positionV relativeFrom="margin">
                <wp:align>center</wp:align>
              </wp:positionV>
              <wp:extent cx="443865" cy="443865"/>
              <wp:effectExtent l="0" t="19050" r="1270" b="22860"/>
              <wp:wrapNone/>
              <wp:docPr id="3" name="Text Box 3"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710629E0" w14:textId="1481723C" w:rsidR="006346ED" w:rsidRPr="006346ED" w:rsidRDefault="006346ED" w:rsidP="006346ED">
                          <w:pPr>
                            <w:rPr>
                              <w:rFonts w:ascii="Calibri" w:eastAsia="Calibri" w:hAnsi="Calibri" w:cs="Calibri"/>
                              <w:noProof/>
                              <w:color w:val="000000"/>
                              <w:sz w:val="2"/>
                              <w:szCs w:val="2"/>
                              <w14:textFill>
                                <w14:solidFill>
                                  <w14:srgbClr w14:val="000000">
                                    <w14:alpha w14:val="50000"/>
                                  </w14:srgbClr>
                                </w14:solidFill>
                              </w14:textFill>
                            </w:rPr>
                          </w:pPr>
                          <w:r w:rsidRPr="006346ED">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18DDD4"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fill o:detectmouseclick="t"/>
              <v:textbox style="mso-fit-shape-to-text:t" inset="0,0,0,0">
                <w:txbxContent>
                  <w:p w14:paraId="710629E0" w14:textId="1481723C" w:rsidR="006346ED" w:rsidRPr="006346ED" w:rsidRDefault="006346ED" w:rsidP="006346ED">
                    <w:pPr>
                      <w:rPr>
                        <w:rFonts w:ascii="Calibri" w:eastAsia="Calibri" w:hAnsi="Calibri" w:cs="Calibri"/>
                        <w:noProof/>
                        <w:color w:val="000000"/>
                        <w:sz w:val="2"/>
                        <w:szCs w:val="2"/>
                        <w14:textFill>
                          <w14:solidFill>
                            <w14:srgbClr w14:val="000000">
                              <w14:alpha w14:val="50000"/>
                            </w14:srgbClr>
                          </w14:solidFill>
                        </w14:textFill>
                      </w:rPr>
                    </w:pPr>
                    <w:r w:rsidRPr="006346ED">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A88A" w14:textId="69413E0A" w:rsidR="00D103AD" w:rsidRPr="004D48F7" w:rsidRDefault="006346ED" w:rsidP="004D48F7">
    <w:pPr>
      <w:pStyle w:val="Footer"/>
      <w:tabs>
        <w:tab w:val="center" w:pos="4680"/>
      </w:tabs>
      <w:jc w:val="right"/>
      <w:rPr>
        <w:color w:val="BFBFBF" w:themeColor="background1" w:themeShade="BF"/>
      </w:rPr>
    </w:pPr>
    <w:bookmarkStart w:id="0" w:name="_Hlk9325258"/>
    <w:r>
      <w:rPr>
        <w:noProof/>
        <w:color w:val="BFBFBF" w:themeColor="background1" w:themeShade="BF"/>
      </w:rPr>
      <mc:AlternateContent>
        <mc:Choice Requires="wps">
          <w:drawing>
            <wp:anchor distT="0" distB="0" distL="114300" distR="114300" simplePos="0" relativeHeight="251660288" behindDoc="1" locked="0" layoutInCell="1" allowOverlap="1" wp14:anchorId="06F5FD72" wp14:editId="09AEE0ED">
              <wp:simplePos x="914400" y="457200"/>
              <wp:positionH relativeFrom="margin">
                <wp:align>center</wp:align>
              </wp:positionH>
              <wp:positionV relativeFrom="margin">
                <wp:align>center</wp:align>
              </wp:positionV>
              <wp:extent cx="443865" cy="443865"/>
              <wp:effectExtent l="0" t="19050" r="1270" b="22860"/>
              <wp:wrapNone/>
              <wp:docPr id="4" name="Text Box 4"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13897213" w14:textId="1AE9F315" w:rsidR="006346ED" w:rsidRPr="006346ED" w:rsidRDefault="006346ED" w:rsidP="006346ED">
                          <w:pPr>
                            <w:rPr>
                              <w:rFonts w:ascii="Calibri" w:eastAsia="Calibri" w:hAnsi="Calibri" w:cs="Calibri"/>
                              <w:noProof/>
                              <w:color w:val="000000"/>
                              <w:sz w:val="2"/>
                              <w:szCs w:val="2"/>
                              <w14:textFill>
                                <w14:solidFill>
                                  <w14:srgbClr w14:val="000000">
                                    <w14:alpha w14:val="50000"/>
                                  </w14:srgbClr>
                                </w14:solidFill>
                              </w14:textFill>
                            </w:rPr>
                          </w:pPr>
                          <w:r w:rsidRPr="006346ED">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6F5FD72"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fill o:detectmouseclick="t"/>
              <v:textbox style="mso-fit-shape-to-text:t" inset="0,0,0,0">
                <w:txbxContent>
                  <w:p w14:paraId="13897213" w14:textId="1AE9F315" w:rsidR="006346ED" w:rsidRPr="006346ED" w:rsidRDefault="006346ED" w:rsidP="006346ED">
                    <w:pPr>
                      <w:rPr>
                        <w:rFonts w:ascii="Calibri" w:eastAsia="Calibri" w:hAnsi="Calibri" w:cs="Calibri"/>
                        <w:noProof/>
                        <w:color w:val="000000"/>
                        <w:sz w:val="2"/>
                        <w:szCs w:val="2"/>
                        <w14:textFill>
                          <w14:solidFill>
                            <w14:srgbClr w14:val="000000">
                              <w14:alpha w14:val="50000"/>
                            </w14:srgbClr>
                          </w14:solidFill>
                        </w14:textFill>
                      </w:rPr>
                    </w:pPr>
                    <w:r w:rsidRPr="006346ED">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r w:rsidR="00D103AD" w:rsidRPr="004D48F7">
      <w:rPr>
        <w:color w:val="BFBFBF" w:themeColor="background1" w:themeShade="BF"/>
      </w:rPr>
      <w:t>QR278 Policy Template</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AD79" w14:textId="10E57182" w:rsidR="004A74D2" w:rsidRDefault="006346ED">
    <w:pPr>
      <w:pStyle w:val="Header"/>
    </w:pPr>
    <w:r>
      <w:rPr>
        <w:noProof/>
      </w:rPr>
      <mc:AlternateContent>
        <mc:Choice Requires="wps">
          <w:drawing>
            <wp:anchor distT="0" distB="0" distL="114300" distR="114300" simplePos="0" relativeHeight="251658240" behindDoc="1" locked="0" layoutInCell="1" allowOverlap="1" wp14:anchorId="4D40437F" wp14:editId="1DA57B0B">
              <wp:simplePos x="635" y="635"/>
              <wp:positionH relativeFrom="margin">
                <wp:align>center</wp:align>
              </wp:positionH>
              <wp:positionV relativeFrom="margin">
                <wp:align>center</wp:align>
              </wp:positionV>
              <wp:extent cx="443865" cy="443865"/>
              <wp:effectExtent l="0" t="19050" r="1270" b="22860"/>
              <wp:wrapNone/>
              <wp:docPr id="1" name="Text Box 1"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36F9B35" w14:textId="6BA1F706" w:rsidR="006346ED" w:rsidRPr="006346ED" w:rsidRDefault="006346ED" w:rsidP="006346ED">
                          <w:pPr>
                            <w:rPr>
                              <w:rFonts w:ascii="Calibri" w:eastAsia="Calibri" w:hAnsi="Calibri" w:cs="Calibri"/>
                              <w:noProof/>
                              <w:color w:val="000000"/>
                              <w:sz w:val="2"/>
                              <w:szCs w:val="2"/>
                              <w14:textFill>
                                <w14:solidFill>
                                  <w14:srgbClr w14:val="000000">
                                    <w14:alpha w14:val="50000"/>
                                  </w14:srgbClr>
                                </w14:solidFill>
                              </w14:textFill>
                            </w:rPr>
                          </w:pPr>
                          <w:r w:rsidRPr="006346ED">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D40437F"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fill o:detectmouseclick="t"/>
              <v:textbox style="mso-fit-shape-to-text:t" inset="0,0,0,0">
                <w:txbxContent>
                  <w:p w14:paraId="036F9B35" w14:textId="6BA1F706" w:rsidR="006346ED" w:rsidRPr="006346ED" w:rsidRDefault="006346ED" w:rsidP="006346ED">
                    <w:pPr>
                      <w:rPr>
                        <w:rFonts w:ascii="Calibri" w:eastAsia="Calibri" w:hAnsi="Calibri" w:cs="Calibri"/>
                        <w:noProof/>
                        <w:color w:val="000000"/>
                        <w:sz w:val="2"/>
                        <w:szCs w:val="2"/>
                        <w14:textFill>
                          <w14:solidFill>
                            <w14:srgbClr w14:val="000000">
                              <w14:alpha w14:val="50000"/>
                            </w14:srgbClr>
                          </w14:solidFill>
                        </w14:textFill>
                      </w:rPr>
                    </w:pPr>
                    <w:r w:rsidRPr="006346ED">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2F5A"/>
    <w:multiLevelType w:val="hybridMultilevel"/>
    <w:tmpl w:val="BD420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26135"/>
    <w:multiLevelType w:val="multilevel"/>
    <w:tmpl w:val="18E0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5A1047"/>
    <w:multiLevelType w:val="multilevel"/>
    <w:tmpl w:val="63A8A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2D536D"/>
    <w:multiLevelType w:val="multilevel"/>
    <w:tmpl w:val="441090D8"/>
    <w:lvl w:ilvl="0">
      <w:start w:val="1"/>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4" w15:restartNumberingAfterBreak="0">
    <w:nsid w:val="32D55109"/>
    <w:multiLevelType w:val="hybridMultilevel"/>
    <w:tmpl w:val="32BC9C60"/>
    <w:lvl w:ilvl="0" w:tplc="08090005">
      <w:start w:val="1"/>
      <w:numFmt w:val="bullet"/>
      <w:lvlText w:val=""/>
      <w:lvlJc w:val="left"/>
      <w:pPr>
        <w:ind w:left="1433" w:hanging="360"/>
      </w:pPr>
      <w:rPr>
        <w:rFonts w:ascii="Wingdings" w:hAnsi="Wingdings" w:hint="default"/>
      </w:rPr>
    </w:lvl>
    <w:lvl w:ilvl="1" w:tplc="08090003" w:tentative="1">
      <w:start w:val="1"/>
      <w:numFmt w:val="bullet"/>
      <w:lvlText w:val="o"/>
      <w:lvlJc w:val="left"/>
      <w:pPr>
        <w:ind w:left="2153" w:hanging="360"/>
      </w:pPr>
      <w:rPr>
        <w:rFonts w:ascii="Courier New" w:hAnsi="Courier New" w:cs="Courier New" w:hint="default"/>
      </w:rPr>
    </w:lvl>
    <w:lvl w:ilvl="2" w:tplc="08090005" w:tentative="1">
      <w:start w:val="1"/>
      <w:numFmt w:val="bullet"/>
      <w:lvlText w:val=""/>
      <w:lvlJc w:val="left"/>
      <w:pPr>
        <w:ind w:left="2873" w:hanging="360"/>
      </w:pPr>
      <w:rPr>
        <w:rFonts w:ascii="Wingdings" w:hAnsi="Wingdings" w:hint="default"/>
      </w:rPr>
    </w:lvl>
    <w:lvl w:ilvl="3" w:tplc="08090001" w:tentative="1">
      <w:start w:val="1"/>
      <w:numFmt w:val="bullet"/>
      <w:lvlText w:val=""/>
      <w:lvlJc w:val="left"/>
      <w:pPr>
        <w:ind w:left="3593" w:hanging="360"/>
      </w:pPr>
      <w:rPr>
        <w:rFonts w:ascii="Symbol" w:hAnsi="Symbol" w:hint="default"/>
      </w:rPr>
    </w:lvl>
    <w:lvl w:ilvl="4" w:tplc="08090003" w:tentative="1">
      <w:start w:val="1"/>
      <w:numFmt w:val="bullet"/>
      <w:lvlText w:val="o"/>
      <w:lvlJc w:val="left"/>
      <w:pPr>
        <w:ind w:left="4313" w:hanging="360"/>
      </w:pPr>
      <w:rPr>
        <w:rFonts w:ascii="Courier New" w:hAnsi="Courier New" w:cs="Courier New" w:hint="default"/>
      </w:rPr>
    </w:lvl>
    <w:lvl w:ilvl="5" w:tplc="08090005" w:tentative="1">
      <w:start w:val="1"/>
      <w:numFmt w:val="bullet"/>
      <w:lvlText w:val=""/>
      <w:lvlJc w:val="left"/>
      <w:pPr>
        <w:ind w:left="5033" w:hanging="360"/>
      </w:pPr>
      <w:rPr>
        <w:rFonts w:ascii="Wingdings" w:hAnsi="Wingdings" w:hint="default"/>
      </w:rPr>
    </w:lvl>
    <w:lvl w:ilvl="6" w:tplc="08090001" w:tentative="1">
      <w:start w:val="1"/>
      <w:numFmt w:val="bullet"/>
      <w:lvlText w:val=""/>
      <w:lvlJc w:val="left"/>
      <w:pPr>
        <w:ind w:left="5753" w:hanging="360"/>
      </w:pPr>
      <w:rPr>
        <w:rFonts w:ascii="Symbol" w:hAnsi="Symbol" w:hint="default"/>
      </w:rPr>
    </w:lvl>
    <w:lvl w:ilvl="7" w:tplc="08090003" w:tentative="1">
      <w:start w:val="1"/>
      <w:numFmt w:val="bullet"/>
      <w:lvlText w:val="o"/>
      <w:lvlJc w:val="left"/>
      <w:pPr>
        <w:ind w:left="6473" w:hanging="360"/>
      </w:pPr>
      <w:rPr>
        <w:rFonts w:ascii="Courier New" w:hAnsi="Courier New" w:cs="Courier New" w:hint="default"/>
      </w:rPr>
    </w:lvl>
    <w:lvl w:ilvl="8" w:tplc="08090005" w:tentative="1">
      <w:start w:val="1"/>
      <w:numFmt w:val="bullet"/>
      <w:lvlText w:val=""/>
      <w:lvlJc w:val="left"/>
      <w:pPr>
        <w:ind w:left="7193" w:hanging="360"/>
      </w:pPr>
      <w:rPr>
        <w:rFonts w:ascii="Wingdings" w:hAnsi="Wingdings" w:hint="default"/>
      </w:rPr>
    </w:lvl>
  </w:abstractNum>
  <w:abstractNum w:abstractNumId="5" w15:restartNumberingAfterBreak="0">
    <w:nsid w:val="33592574"/>
    <w:multiLevelType w:val="hybridMultilevel"/>
    <w:tmpl w:val="20D87A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F16AA0"/>
    <w:multiLevelType w:val="hybridMultilevel"/>
    <w:tmpl w:val="80ACE7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F605C1"/>
    <w:multiLevelType w:val="hybridMultilevel"/>
    <w:tmpl w:val="F2CC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D93EA1"/>
    <w:multiLevelType w:val="hybridMultilevel"/>
    <w:tmpl w:val="F24C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226896"/>
    <w:multiLevelType w:val="hybridMultilevel"/>
    <w:tmpl w:val="E6D079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CDC5AAB"/>
    <w:multiLevelType w:val="hybridMultilevel"/>
    <w:tmpl w:val="5A306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026482">
    <w:abstractNumId w:val="9"/>
  </w:num>
  <w:num w:numId="2" w16cid:durableId="1853958035">
    <w:abstractNumId w:val="0"/>
  </w:num>
  <w:num w:numId="3" w16cid:durableId="223372408">
    <w:abstractNumId w:val="7"/>
  </w:num>
  <w:num w:numId="4" w16cid:durableId="39984128">
    <w:abstractNumId w:val="5"/>
  </w:num>
  <w:num w:numId="5" w16cid:durableId="681588227">
    <w:abstractNumId w:val="6"/>
  </w:num>
  <w:num w:numId="6" w16cid:durableId="1503281411">
    <w:abstractNumId w:val="3"/>
  </w:num>
  <w:num w:numId="7" w16cid:durableId="1772779902">
    <w:abstractNumId w:val="4"/>
  </w:num>
  <w:num w:numId="8" w16cid:durableId="153645236">
    <w:abstractNumId w:val="2"/>
  </w:num>
  <w:num w:numId="9" w16cid:durableId="961690490">
    <w:abstractNumId w:val="1"/>
  </w:num>
  <w:num w:numId="10" w16cid:durableId="878663256">
    <w:abstractNumId w:val="8"/>
  </w:num>
  <w:num w:numId="11" w16cid:durableId="869974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77"/>
    <w:rsid w:val="000434B8"/>
    <w:rsid w:val="00087E16"/>
    <w:rsid w:val="000A16FD"/>
    <w:rsid w:val="000D29FA"/>
    <w:rsid w:val="000D585F"/>
    <w:rsid w:val="000F577A"/>
    <w:rsid w:val="001000B6"/>
    <w:rsid w:val="00131F38"/>
    <w:rsid w:val="00156050"/>
    <w:rsid w:val="001E20B9"/>
    <w:rsid w:val="001E7572"/>
    <w:rsid w:val="001E7E6E"/>
    <w:rsid w:val="002203A8"/>
    <w:rsid w:val="00247BF2"/>
    <w:rsid w:val="00250D7D"/>
    <w:rsid w:val="0028359A"/>
    <w:rsid w:val="002A3E0C"/>
    <w:rsid w:val="002A73B8"/>
    <w:rsid w:val="003008B0"/>
    <w:rsid w:val="003607BC"/>
    <w:rsid w:val="00381DCD"/>
    <w:rsid w:val="003838C5"/>
    <w:rsid w:val="00404054"/>
    <w:rsid w:val="00422AF4"/>
    <w:rsid w:val="00427C3E"/>
    <w:rsid w:val="0046527C"/>
    <w:rsid w:val="004A74D2"/>
    <w:rsid w:val="004B5F99"/>
    <w:rsid w:val="004C295A"/>
    <w:rsid w:val="004D48F7"/>
    <w:rsid w:val="004D71CC"/>
    <w:rsid w:val="004F087A"/>
    <w:rsid w:val="005075D2"/>
    <w:rsid w:val="005246C8"/>
    <w:rsid w:val="00530FB0"/>
    <w:rsid w:val="0054347B"/>
    <w:rsid w:val="00546DB6"/>
    <w:rsid w:val="005657B0"/>
    <w:rsid w:val="00571F1A"/>
    <w:rsid w:val="00596A55"/>
    <w:rsid w:val="005B62AC"/>
    <w:rsid w:val="005F506A"/>
    <w:rsid w:val="00610785"/>
    <w:rsid w:val="00620A3D"/>
    <w:rsid w:val="006346ED"/>
    <w:rsid w:val="00646AAA"/>
    <w:rsid w:val="006758FA"/>
    <w:rsid w:val="00696EE2"/>
    <w:rsid w:val="006C34A7"/>
    <w:rsid w:val="006D4C10"/>
    <w:rsid w:val="006D6C66"/>
    <w:rsid w:val="007529DF"/>
    <w:rsid w:val="007A142E"/>
    <w:rsid w:val="007A54D1"/>
    <w:rsid w:val="007B218E"/>
    <w:rsid w:val="007C113F"/>
    <w:rsid w:val="007C12E7"/>
    <w:rsid w:val="008067D7"/>
    <w:rsid w:val="00822ED0"/>
    <w:rsid w:val="00827972"/>
    <w:rsid w:val="00882C6A"/>
    <w:rsid w:val="008E1A5C"/>
    <w:rsid w:val="008E2A2C"/>
    <w:rsid w:val="00951606"/>
    <w:rsid w:val="00966206"/>
    <w:rsid w:val="00977844"/>
    <w:rsid w:val="009D1065"/>
    <w:rsid w:val="009F2071"/>
    <w:rsid w:val="00AA66E0"/>
    <w:rsid w:val="00B178B9"/>
    <w:rsid w:val="00B42815"/>
    <w:rsid w:val="00B5071C"/>
    <w:rsid w:val="00B677E6"/>
    <w:rsid w:val="00BA41D1"/>
    <w:rsid w:val="00BE1BBB"/>
    <w:rsid w:val="00C13368"/>
    <w:rsid w:val="00C15794"/>
    <w:rsid w:val="00C57ADE"/>
    <w:rsid w:val="00C57BA3"/>
    <w:rsid w:val="00C9688B"/>
    <w:rsid w:val="00CA48E7"/>
    <w:rsid w:val="00CC4A5F"/>
    <w:rsid w:val="00CD1D0F"/>
    <w:rsid w:val="00CD76C5"/>
    <w:rsid w:val="00CF2D6D"/>
    <w:rsid w:val="00D103AD"/>
    <w:rsid w:val="00D36F36"/>
    <w:rsid w:val="00D42773"/>
    <w:rsid w:val="00D62C8F"/>
    <w:rsid w:val="00D82A1C"/>
    <w:rsid w:val="00DA24D7"/>
    <w:rsid w:val="00DB0AAA"/>
    <w:rsid w:val="00DE2E02"/>
    <w:rsid w:val="00E105A5"/>
    <w:rsid w:val="00E31AE9"/>
    <w:rsid w:val="00E32972"/>
    <w:rsid w:val="00E62730"/>
    <w:rsid w:val="00E64639"/>
    <w:rsid w:val="00E9776D"/>
    <w:rsid w:val="00EA5963"/>
    <w:rsid w:val="00EB7D1C"/>
    <w:rsid w:val="00F2156B"/>
    <w:rsid w:val="00F3074A"/>
    <w:rsid w:val="00F42577"/>
    <w:rsid w:val="00F619CF"/>
    <w:rsid w:val="00F74DD5"/>
    <w:rsid w:val="00FA0D4E"/>
    <w:rsid w:val="00FE5D83"/>
    <w:rsid w:val="034E4368"/>
    <w:rsid w:val="0AFBE3F8"/>
    <w:rsid w:val="46D055E6"/>
    <w:rsid w:val="4AA0294F"/>
    <w:rsid w:val="5CB294C8"/>
    <w:rsid w:val="791B8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C6855"/>
  <w15:chartTrackingRefBased/>
  <w15:docId w15:val="{47BD5736-A935-41AC-809F-1FCEC4F7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6A"/>
    <w:pPr>
      <w:jc w:val="both"/>
    </w:pPr>
    <w:rPr>
      <w:rFonts w:ascii="Arial" w:hAnsi="Arial"/>
    </w:rPr>
  </w:style>
  <w:style w:type="paragraph" w:styleId="Heading1">
    <w:name w:val="heading 1"/>
    <w:basedOn w:val="Normal"/>
    <w:next w:val="Normal"/>
    <w:link w:val="Heading1Char"/>
    <w:uiPriority w:val="9"/>
    <w:qFormat/>
    <w:rsid w:val="005F506A"/>
    <w:pPr>
      <w:keepNext/>
      <w:keepLines/>
      <w:spacing w:before="24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06A"/>
    <w:rPr>
      <w:rFonts w:ascii="Arial" w:eastAsiaTheme="majorEastAsia" w:hAnsi="Arial" w:cstheme="majorBidi"/>
      <w:b/>
      <w:color w:val="000000" w:themeColor="text1"/>
      <w:sz w:val="28"/>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39"/>
    <w:rsid w:val="00F4257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C113F"/>
    <w:rPr>
      <w:rFonts w:ascii="Times New Roman" w:eastAsia="Times New Roman" w:hAnsi="Times New Roman" w:cs="Times New Roman"/>
      <w:b/>
      <w:bCs/>
      <w:sz w:val="28"/>
      <w:szCs w:val="24"/>
      <w:lang w:val="en-GB"/>
    </w:rPr>
  </w:style>
  <w:style w:type="character" w:customStyle="1" w:styleId="BodyTextChar">
    <w:name w:val="Body Text Char"/>
    <w:basedOn w:val="DefaultParagraphFont"/>
    <w:link w:val="BodyText"/>
    <w:rsid w:val="007C113F"/>
    <w:rPr>
      <w:rFonts w:ascii="Times New Roman" w:eastAsia="Times New Roman" w:hAnsi="Times New Roman" w:cs="Times New Roman"/>
      <w:b/>
      <w:bCs/>
      <w:sz w:val="28"/>
      <w:szCs w:val="24"/>
      <w:lang w:val="en-GB"/>
    </w:rPr>
  </w:style>
  <w:style w:type="table" w:styleId="GridTable6Colorful-Accent5">
    <w:name w:val="Grid Table 6 Colorful Accent 5"/>
    <w:basedOn w:val="TableNormal"/>
    <w:uiPriority w:val="51"/>
    <w:rsid w:val="007C113F"/>
    <w:rPr>
      <w:rFonts w:ascii="Times New Roman" w:eastAsia="Times New Roman" w:hAnsi="Times New Roman" w:cs="Times New Roman"/>
      <w:color w:val="2F5496" w:themeColor="accent5" w:themeShade="BF"/>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0A16FD"/>
    <w:rPr>
      <w:rFonts w:ascii="Times New Roman" w:eastAsia="Times New Roman" w:hAnsi="Times New Roman" w:cs="Times New Roman"/>
      <w:sz w:val="20"/>
      <w:szCs w:val="20"/>
      <w:lang w:val="en-GB" w:eastAsia="en-GB"/>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basedOn w:val="Normal"/>
    <w:link w:val="HeaderChar"/>
    <w:uiPriority w:val="99"/>
    <w:unhideWhenUsed/>
    <w:rsid w:val="002203A8"/>
    <w:pPr>
      <w:tabs>
        <w:tab w:val="center" w:pos="4513"/>
        <w:tab w:val="right" w:pos="9026"/>
      </w:tabs>
    </w:pPr>
  </w:style>
  <w:style w:type="character" w:customStyle="1" w:styleId="HeaderChar">
    <w:name w:val="Header Char"/>
    <w:basedOn w:val="DefaultParagraphFont"/>
    <w:link w:val="Header"/>
    <w:uiPriority w:val="99"/>
    <w:rsid w:val="002203A8"/>
  </w:style>
  <w:style w:type="paragraph" w:styleId="Footer">
    <w:name w:val="footer"/>
    <w:basedOn w:val="Normal"/>
    <w:link w:val="FooterChar"/>
    <w:uiPriority w:val="99"/>
    <w:unhideWhenUsed/>
    <w:rsid w:val="002203A8"/>
    <w:pPr>
      <w:tabs>
        <w:tab w:val="center" w:pos="4513"/>
        <w:tab w:val="right" w:pos="9026"/>
      </w:tabs>
    </w:pPr>
  </w:style>
  <w:style w:type="character" w:customStyle="1" w:styleId="FooterChar">
    <w:name w:val="Footer Char"/>
    <w:basedOn w:val="DefaultParagraphFont"/>
    <w:link w:val="Footer"/>
    <w:uiPriority w:val="99"/>
    <w:rsid w:val="002203A8"/>
  </w:style>
  <w:style w:type="paragraph" w:styleId="BalloonText">
    <w:name w:val="Balloon Text"/>
    <w:basedOn w:val="Normal"/>
    <w:link w:val="BalloonTextChar"/>
    <w:uiPriority w:val="99"/>
    <w:semiHidden/>
    <w:unhideWhenUsed/>
    <w:rsid w:val="00E32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972"/>
    <w:rPr>
      <w:rFonts w:ascii="Segoe UI" w:hAnsi="Segoe UI" w:cs="Segoe UI"/>
      <w:sz w:val="18"/>
      <w:szCs w:val="18"/>
    </w:rPr>
  </w:style>
  <w:style w:type="paragraph" w:styleId="BodyText2">
    <w:name w:val="Body Text 2"/>
    <w:basedOn w:val="Normal"/>
    <w:link w:val="BodyText2Char"/>
    <w:uiPriority w:val="99"/>
    <w:semiHidden/>
    <w:unhideWhenUsed/>
    <w:rsid w:val="008067D7"/>
    <w:pPr>
      <w:spacing w:after="120" w:line="480" w:lineRule="auto"/>
    </w:pPr>
  </w:style>
  <w:style w:type="character" w:customStyle="1" w:styleId="BodyText2Char">
    <w:name w:val="Body Text 2 Char"/>
    <w:basedOn w:val="DefaultParagraphFont"/>
    <w:link w:val="BodyText2"/>
    <w:uiPriority w:val="99"/>
    <w:semiHidden/>
    <w:rsid w:val="00806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642328">
      <w:bodyDiv w:val="1"/>
      <w:marLeft w:val="0"/>
      <w:marRight w:val="0"/>
      <w:marTop w:val="0"/>
      <w:marBottom w:val="0"/>
      <w:divBdr>
        <w:top w:val="none" w:sz="0" w:space="0" w:color="auto"/>
        <w:left w:val="none" w:sz="0" w:space="0" w:color="auto"/>
        <w:bottom w:val="none" w:sz="0" w:space="0" w:color="auto"/>
        <w:right w:val="none" w:sz="0" w:space="0" w:color="auto"/>
      </w:divBdr>
      <w:divsChild>
        <w:div w:id="567493333">
          <w:marLeft w:val="0"/>
          <w:marRight w:val="0"/>
          <w:marTop w:val="0"/>
          <w:marBottom w:val="0"/>
          <w:divBdr>
            <w:top w:val="none" w:sz="0" w:space="0" w:color="auto"/>
            <w:left w:val="none" w:sz="0" w:space="0" w:color="auto"/>
            <w:bottom w:val="none" w:sz="0" w:space="0" w:color="auto"/>
            <w:right w:val="none" w:sz="0" w:space="0" w:color="auto"/>
          </w:divBdr>
          <w:divsChild>
            <w:div w:id="101649125">
              <w:marLeft w:val="0"/>
              <w:marRight w:val="0"/>
              <w:marTop w:val="0"/>
              <w:marBottom w:val="0"/>
              <w:divBdr>
                <w:top w:val="none" w:sz="0" w:space="0" w:color="auto"/>
                <w:left w:val="none" w:sz="0" w:space="0" w:color="auto"/>
                <w:bottom w:val="none" w:sz="0" w:space="0" w:color="auto"/>
                <w:right w:val="none" w:sz="0" w:space="0" w:color="auto"/>
              </w:divBdr>
            </w:div>
            <w:div w:id="249970082">
              <w:marLeft w:val="0"/>
              <w:marRight w:val="0"/>
              <w:marTop w:val="0"/>
              <w:marBottom w:val="0"/>
              <w:divBdr>
                <w:top w:val="none" w:sz="0" w:space="0" w:color="auto"/>
                <w:left w:val="none" w:sz="0" w:space="0" w:color="auto"/>
                <w:bottom w:val="none" w:sz="0" w:space="0" w:color="auto"/>
                <w:right w:val="none" w:sz="0" w:space="0" w:color="auto"/>
              </w:divBdr>
            </w:div>
            <w:div w:id="293339977">
              <w:marLeft w:val="0"/>
              <w:marRight w:val="0"/>
              <w:marTop w:val="0"/>
              <w:marBottom w:val="0"/>
              <w:divBdr>
                <w:top w:val="none" w:sz="0" w:space="0" w:color="auto"/>
                <w:left w:val="none" w:sz="0" w:space="0" w:color="auto"/>
                <w:bottom w:val="none" w:sz="0" w:space="0" w:color="auto"/>
                <w:right w:val="none" w:sz="0" w:space="0" w:color="auto"/>
              </w:divBdr>
            </w:div>
          </w:divsChild>
        </w:div>
        <w:div w:id="1564945656">
          <w:marLeft w:val="0"/>
          <w:marRight w:val="0"/>
          <w:marTop w:val="0"/>
          <w:marBottom w:val="0"/>
          <w:divBdr>
            <w:top w:val="none" w:sz="0" w:space="0" w:color="auto"/>
            <w:left w:val="none" w:sz="0" w:space="0" w:color="auto"/>
            <w:bottom w:val="none" w:sz="0" w:space="0" w:color="auto"/>
            <w:right w:val="none" w:sz="0" w:space="0" w:color="auto"/>
          </w:divBdr>
          <w:divsChild>
            <w:div w:id="1527517995">
              <w:marLeft w:val="0"/>
              <w:marRight w:val="0"/>
              <w:marTop w:val="0"/>
              <w:marBottom w:val="0"/>
              <w:divBdr>
                <w:top w:val="none" w:sz="0" w:space="0" w:color="auto"/>
                <w:left w:val="none" w:sz="0" w:space="0" w:color="auto"/>
                <w:bottom w:val="none" w:sz="0" w:space="0" w:color="auto"/>
                <w:right w:val="none" w:sz="0" w:space="0" w:color="auto"/>
              </w:divBdr>
            </w:div>
          </w:divsChild>
        </w:div>
        <w:div w:id="1180583056">
          <w:marLeft w:val="0"/>
          <w:marRight w:val="0"/>
          <w:marTop w:val="0"/>
          <w:marBottom w:val="0"/>
          <w:divBdr>
            <w:top w:val="none" w:sz="0" w:space="0" w:color="auto"/>
            <w:left w:val="none" w:sz="0" w:space="0" w:color="auto"/>
            <w:bottom w:val="none" w:sz="0" w:space="0" w:color="auto"/>
            <w:right w:val="none" w:sz="0" w:space="0" w:color="auto"/>
          </w:divBdr>
          <w:divsChild>
            <w:div w:id="1154103375">
              <w:marLeft w:val="-75"/>
              <w:marRight w:val="0"/>
              <w:marTop w:val="30"/>
              <w:marBottom w:val="30"/>
              <w:divBdr>
                <w:top w:val="none" w:sz="0" w:space="0" w:color="auto"/>
                <w:left w:val="none" w:sz="0" w:space="0" w:color="auto"/>
                <w:bottom w:val="none" w:sz="0" w:space="0" w:color="auto"/>
                <w:right w:val="none" w:sz="0" w:space="0" w:color="auto"/>
              </w:divBdr>
              <w:divsChild>
                <w:div w:id="680353586">
                  <w:marLeft w:val="0"/>
                  <w:marRight w:val="0"/>
                  <w:marTop w:val="0"/>
                  <w:marBottom w:val="0"/>
                  <w:divBdr>
                    <w:top w:val="none" w:sz="0" w:space="0" w:color="auto"/>
                    <w:left w:val="none" w:sz="0" w:space="0" w:color="auto"/>
                    <w:bottom w:val="none" w:sz="0" w:space="0" w:color="auto"/>
                    <w:right w:val="none" w:sz="0" w:space="0" w:color="auto"/>
                  </w:divBdr>
                  <w:divsChild>
                    <w:div w:id="1301228298">
                      <w:marLeft w:val="0"/>
                      <w:marRight w:val="0"/>
                      <w:marTop w:val="0"/>
                      <w:marBottom w:val="0"/>
                      <w:divBdr>
                        <w:top w:val="none" w:sz="0" w:space="0" w:color="auto"/>
                        <w:left w:val="none" w:sz="0" w:space="0" w:color="auto"/>
                        <w:bottom w:val="none" w:sz="0" w:space="0" w:color="auto"/>
                        <w:right w:val="none" w:sz="0" w:space="0" w:color="auto"/>
                      </w:divBdr>
                    </w:div>
                  </w:divsChild>
                </w:div>
                <w:div w:id="1970552010">
                  <w:marLeft w:val="0"/>
                  <w:marRight w:val="0"/>
                  <w:marTop w:val="0"/>
                  <w:marBottom w:val="0"/>
                  <w:divBdr>
                    <w:top w:val="none" w:sz="0" w:space="0" w:color="auto"/>
                    <w:left w:val="none" w:sz="0" w:space="0" w:color="auto"/>
                    <w:bottom w:val="none" w:sz="0" w:space="0" w:color="auto"/>
                    <w:right w:val="none" w:sz="0" w:space="0" w:color="auto"/>
                  </w:divBdr>
                  <w:divsChild>
                    <w:div w:id="709572808">
                      <w:marLeft w:val="0"/>
                      <w:marRight w:val="0"/>
                      <w:marTop w:val="0"/>
                      <w:marBottom w:val="0"/>
                      <w:divBdr>
                        <w:top w:val="none" w:sz="0" w:space="0" w:color="auto"/>
                        <w:left w:val="none" w:sz="0" w:space="0" w:color="auto"/>
                        <w:bottom w:val="none" w:sz="0" w:space="0" w:color="auto"/>
                        <w:right w:val="none" w:sz="0" w:space="0" w:color="auto"/>
                      </w:divBdr>
                    </w:div>
                  </w:divsChild>
                </w:div>
                <w:div w:id="843519917">
                  <w:marLeft w:val="0"/>
                  <w:marRight w:val="0"/>
                  <w:marTop w:val="0"/>
                  <w:marBottom w:val="0"/>
                  <w:divBdr>
                    <w:top w:val="none" w:sz="0" w:space="0" w:color="auto"/>
                    <w:left w:val="none" w:sz="0" w:space="0" w:color="auto"/>
                    <w:bottom w:val="none" w:sz="0" w:space="0" w:color="auto"/>
                    <w:right w:val="none" w:sz="0" w:space="0" w:color="auto"/>
                  </w:divBdr>
                  <w:divsChild>
                    <w:div w:id="544801149">
                      <w:marLeft w:val="0"/>
                      <w:marRight w:val="0"/>
                      <w:marTop w:val="0"/>
                      <w:marBottom w:val="0"/>
                      <w:divBdr>
                        <w:top w:val="none" w:sz="0" w:space="0" w:color="auto"/>
                        <w:left w:val="none" w:sz="0" w:space="0" w:color="auto"/>
                        <w:bottom w:val="none" w:sz="0" w:space="0" w:color="auto"/>
                        <w:right w:val="none" w:sz="0" w:space="0" w:color="auto"/>
                      </w:divBdr>
                    </w:div>
                  </w:divsChild>
                </w:div>
                <w:div w:id="1063137526">
                  <w:marLeft w:val="0"/>
                  <w:marRight w:val="0"/>
                  <w:marTop w:val="0"/>
                  <w:marBottom w:val="0"/>
                  <w:divBdr>
                    <w:top w:val="none" w:sz="0" w:space="0" w:color="auto"/>
                    <w:left w:val="none" w:sz="0" w:space="0" w:color="auto"/>
                    <w:bottom w:val="none" w:sz="0" w:space="0" w:color="auto"/>
                    <w:right w:val="none" w:sz="0" w:space="0" w:color="auto"/>
                  </w:divBdr>
                  <w:divsChild>
                    <w:div w:id="1165247458">
                      <w:marLeft w:val="0"/>
                      <w:marRight w:val="0"/>
                      <w:marTop w:val="0"/>
                      <w:marBottom w:val="0"/>
                      <w:divBdr>
                        <w:top w:val="none" w:sz="0" w:space="0" w:color="auto"/>
                        <w:left w:val="none" w:sz="0" w:space="0" w:color="auto"/>
                        <w:bottom w:val="none" w:sz="0" w:space="0" w:color="auto"/>
                        <w:right w:val="none" w:sz="0" w:space="0" w:color="auto"/>
                      </w:divBdr>
                    </w:div>
                  </w:divsChild>
                </w:div>
                <w:div w:id="1776168322">
                  <w:marLeft w:val="0"/>
                  <w:marRight w:val="0"/>
                  <w:marTop w:val="0"/>
                  <w:marBottom w:val="0"/>
                  <w:divBdr>
                    <w:top w:val="none" w:sz="0" w:space="0" w:color="auto"/>
                    <w:left w:val="none" w:sz="0" w:space="0" w:color="auto"/>
                    <w:bottom w:val="none" w:sz="0" w:space="0" w:color="auto"/>
                    <w:right w:val="none" w:sz="0" w:space="0" w:color="auto"/>
                  </w:divBdr>
                  <w:divsChild>
                    <w:div w:id="1459421697">
                      <w:marLeft w:val="0"/>
                      <w:marRight w:val="0"/>
                      <w:marTop w:val="0"/>
                      <w:marBottom w:val="0"/>
                      <w:divBdr>
                        <w:top w:val="none" w:sz="0" w:space="0" w:color="auto"/>
                        <w:left w:val="none" w:sz="0" w:space="0" w:color="auto"/>
                        <w:bottom w:val="none" w:sz="0" w:space="0" w:color="auto"/>
                        <w:right w:val="none" w:sz="0" w:space="0" w:color="auto"/>
                      </w:divBdr>
                    </w:div>
                  </w:divsChild>
                </w:div>
                <w:div w:id="765073849">
                  <w:marLeft w:val="0"/>
                  <w:marRight w:val="0"/>
                  <w:marTop w:val="0"/>
                  <w:marBottom w:val="0"/>
                  <w:divBdr>
                    <w:top w:val="none" w:sz="0" w:space="0" w:color="auto"/>
                    <w:left w:val="none" w:sz="0" w:space="0" w:color="auto"/>
                    <w:bottom w:val="none" w:sz="0" w:space="0" w:color="auto"/>
                    <w:right w:val="none" w:sz="0" w:space="0" w:color="auto"/>
                  </w:divBdr>
                  <w:divsChild>
                    <w:div w:id="1913734443">
                      <w:marLeft w:val="0"/>
                      <w:marRight w:val="0"/>
                      <w:marTop w:val="0"/>
                      <w:marBottom w:val="0"/>
                      <w:divBdr>
                        <w:top w:val="none" w:sz="0" w:space="0" w:color="auto"/>
                        <w:left w:val="none" w:sz="0" w:space="0" w:color="auto"/>
                        <w:bottom w:val="none" w:sz="0" w:space="0" w:color="auto"/>
                        <w:right w:val="none" w:sz="0" w:space="0" w:color="auto"/>
                      </w:divBdr>
                    </w:div>
                  </w:divsChild>
                </w:div>
                <w:div w:id="1405378338">
                  <w:marLeft w:val="0"/>
                  <w:marRight w:val="0"/>
                  <w:marTop w:val="0"/>
                  <w:marBottom w:val="0"/>
                  <w:divBdr>
                    <w:top w:val="none" w:sz="0" w:space="0" w:color="auto"/>
                    <w:left w:val="none" w:sz="0" w:space="0" w:color="auto"/>
                    <w:bottom w:val="none" w:sz="0" w:space="0" w:color="auto"/>
                    <w:right w:val="none" w:sz="0" w:space="0" w:color="auto"/>
                  </w:divBdr>
                  <w:divsChild>
                    <w:div w:id="1255241445">
                      <w:marLeft w:val="0"/>
                      <w:marRight w:val="0"/>
                      <w:marTop w:val="0"/>
                      <w:marBottom w:val="0"/>
                      <w:divBdr>
                        <w:top w:val="none" w:sz="0" w:space="0" w:color="auto"/>
                        <w:left w:val="none" w:sz="0" w:space="0" w:color="auto"/>
                        <w:bottom w:val="none" w:sz="0" w:space="0" w:color="auto"/>
                        <w:right w:val="none" w:sz="0" w:space="0" w:color="auto"/>
                      </w:divBdr>
                    </w:div>
                  </w:divsChild>
                </w:div>
                <w:div w:id="167408803">
                  <w:marLeft w:val="0"/>
                  <w:marRight w:val="0"/>
                  <w:marTop w:val="0"/>
                  <w:marBottom w:val="0"/>
                  <w:divBdr>
                    <w:top w:val="none" w:sz="0" w:space="0" w:color="auto"/>
                    <w:left w:val="none" w:sz="0" w:space="0" w:color="auto"/>
                    <w:bottom w:val="none" w:sz="0" w:space="0" w:color="auto"/>
                    <w:right w:val="none" w:sz="0" w:space="0" w:color="auto"/>
                  </w:divBdr>
                  <w:divsChild>
                    <w:div w:id="1139542480">
                      <w:marLeft w:val="0"/>
                      <w:marRight w:val="0"/>
                      <w:marTop w:val="0"/>
                      <w:marBottom w:val="0"/>
                      <w:divBdr>
                        <w:top w:val="none" w:sz="0" w:space="0" w:color="auto"/>
                        <w:left w:val="none" w:sz="0" w:space="0" w:color="auto"/>
                        <w:bottom w:val="none" w:sz="0" w:space="0" w:color="auto"/>
                        <w:right w:val="none" w:sz="0" w:space="0" w:color="auto"/>
                      </w:divBdr>
                    </w:div>
                  </w:divsChild>
                </w:div>
                <w:div w:id="1651859668">
                  <w:marLeft w:val="0"/>
                  <w:marRight w:val="0"/>
                  <w:marTop w:val="0"/>
                  <w:marBottom w:val="0"/>
                  <w:divBdr>
                    <w:top w:val="none" w:sz="0" w:space="0" w:color="auto"/>
                    <w:left w:val="none" w:sz="0" w:space="0" w:color="auto"/>
                    <w:bottom w:val="none" w:sz="0" w:space="0" w:color="auto"/>
                    <w:right w:val="none" w:sz="0" w:space="0" w:color="auto"/>
                  </w:divBdr>
                  <w:divsChild>
                    <w:div w:id="1283616461">
                      <w:marLeft w:val="0"/>
                      <w:marRight w:val="0"/>
                      <w:marTop w:val="0"/>
                      <w:marBottom w:val="0"/>
                      <w:divBdr>
                        <w:top w:val="none" w:sz="0" w:space="0" w:color="auto"/>
                        <w:left w:val="none" w:sz="0" w:space="0" w:color="auto"/>
                        <w:bottom w:val="none" w:sz="0" w:space="0" w:color="auto"/>
                        <w:right w:val="none" w:sz="0" w:space="0" w:color="auto"/>
                      </w:divBdr>
                    </w:div>
                  </w:divsChild>
                </w:div>
                <w:div w:id="630789635">
                  <w:marLeft w:val="0"/>
                  <w:marRight w:val="0"/>
                  <w:marTop w:val="0"/>
                  <w:marBottom w:val="0"/>
                  <w:divBdr>
                    <w:top w:val="none" w:sz="0" w:space="0" w:color="auto"/>
                    <w:left w:val="none" w:sz="0" w:space="0" w:color="auto"/>
                    <w:bottom w:val="none" w:sz="0" w:space="0" w:color="auto"/>
                    <w:right w:val="none" w:sz="0" w:space="0" w:color="auto"/>
                  </w:divBdr>
                  <w:divsChild>
                    <w:div w:id="1475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112335">
          <w:marLeft w:val="0"/>
          <w:marRight w:val="0"/>
          <w:marTop w:val="0"/>
          <w:marBottom w:val="0"/>
          <w:divBdr>
            <w:top w:val="none" w:sz="0" w:space="0" w:color="auto"/>
            <w:left w:val="none" w:sz="0" w:space="0" w:color="auto"/>
            <w:bottom w:val="none" w:sz="0" w:space="0" w:color="auto"/>
            <w:right w:val="none" w:sz="0" w:space="0" w:color="auto"/>
          </w:divBdr>
        </w:div>
      </w:divsChild>
    </w:div>
    <w:div w:id="19205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Brandwoo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tention_x0020_Period_x0020__x0028_months_x0029_ xmlns="a8387000-1fbf-4ffc-b05a-bd20d87966ff" xsi:nil="true"/>
    <Document_x0020_Stored_x003f_ xmlns="a8387000-1fbf-4ffc-b05a-bd20d87966ff" xsi:nil="true"/>
    <Reference xmlns="a8387000-1fbf-4ffc-b05a-bd20d87966ff">QR278</Reference>
    <Document_x0020_Type xmlns="a8387000-1fbf-4ffc-b05a-bd20d87966ff">Forms, Letters, Templates</Document_x0020_Type>
    <Owner xmlns="a8387000-1fbf-4ffc-b05a-bd20d87966ff">
      <UserInfo>
        <DisplayName>Annette Brandwood</DisplayName>
        <AccountId>14</AccountId>
        <AccountType/>
      </UserInfo>
    </Owner>
    <Pre_x0020__x002f__x0020_Post_x0020_Demerge xmlns="a8387000-1fbf-4ffc-b05a-bd20d87966ff" xsi:nil="true"/>
    <Department xmlns="a8387000-1fbf-4ffc-b05a-bd20d87966ff">Corporate Services</Department>
    <Team xmlns="a8387000-1fbf-4ffc-b05a-bd20d87966ff">EMT Governance</Team>
    <Orchard_x0020_Folder xmlns="a8387000-1fbf-4ffc-b05a-bd20d87966ff" xsi:nil="true"/>
    <Reference_x0020_To_x0020_Other_x0020_Docs xmlns="a8387000-1fbf-4ffc-b05a-bd20d87966ff" xsi:nil="true"/>
    <Risk_x0020_Code xmlns="a8387000-1fbf-4ffc-b05a-bd20d87966ff" xsi:nil="true"/>
    <Review_x0020_Date xmlns="a8387000-1fbf-4ffc-b05a-bd20d87966ff">2021-11-18T08:00:00+00:00</Review_x0020_Date>
    <Approval_x0020_Path xmlns="a8387000-1fbf-4ffc-b05a-bd20d87966ff">Owner</Approval_x0020_Path>
    <ReftootherDocs xmlns="a8387000-1fbf-4ffc-b05a-bd20d87966ff" xsi:nil="true"/>
    <ReftootherDoc1 xmlns="a8387000-1fbf-4ffc-b05a-bd20d87966ff" xsi:nil="true"/>
    <ReftootherDocs3 xmlns="a8387000-1fbf-4ffc-b05a-bd20d87966ff" xsi:nil="true"/>
    <ReftootherDocs2 xmlns="a8387000-1fbf-4ffc-b05a-bd20d87966ff" xsi:nil="true"/>
    <ReftootherDocs7 xmlns="a8387000-1fbf-4ffc-b05a-bd20d87966ff" xsi:nil="true"/>
    <ReftootherDocs6 xmlns="a8387000-1fbf-4ffc-b05a-bd20d87966ff" xsi:nil="true"/>
    <ReftootherDocs10 xmlns="a8387000-1fbf-4ffc-b05a-bd20d87966ff" xsi:nil="true"/>
    <ReftootherDocs9 xmlns="a8387000-1fbf-4ffc-b05a-bd20d87966ff" xsi:nil="true"/>
    <ReftootherDocs8 xmlns="a8387000-1fbf-4ffc-b05a-bd20d87966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6C8548604A1A4B97256A8A2858E5DB" ma:contentTypeVersion="36" ma:contentTypeDescription="Create a new document." ma:contentTypeScope="" ma:versionID="926d6ecc3e6de4291c18b664568e3b3e">
  <xsd:schema xmlns:xsd="http://www.w3.org/2001/XMLSchema" xmlns:xs="http://www.w3.org/2001/XMLSchema" xmlns:p="http://schemas.microsoft.com/office/2006/metadata/properties" xmlns:ns2="a8387000-1fbf-4ffc-b05a-bd20d87966ff" xmlns:ns3="0fbc486f-98b6-4282-b63d-e820d91b7f8c" targetNamespace="http://schemas.microsoft.com/office/2006/metadata/properties" ma:root="true" ma:fieldsID="d6c3a184c736a9d98c75fda9e22152f0" ns2:_="" ns3:_="">
    <xsd:import namespace="a8387000-1fbf-4ffc-b05a-bd20d87966ff"/>
    <xsd:import namespace="0fbc486f-98b6-4282-b63d-e820d91b7f8c"/>
    <xsd:element name="properties">
      <xsd:complexType>
        <xsd:sequence>
          <xsd:element name="documentManagement">
            <xsd:complexType>
              <xsd:all>
                <xsd:element ref="ns2:Reference" minOccurs="0"/>
                <xsd:element ref="ns2:Pre_x0020__x002f__x0020_Post_x0020_Demerge" minOccurs="0"/>
                <xsd:element ref="ns2:Document_x0020_Type" minOccurs="0"/>
                <xsd:element ref="ns2:Department" minOccurs="0"/>
                <xsd:element ref="ns2:Team" minOccurs="0"/>
                <xsd:element ref="ns2:Owner" minOccurs="0"/>
                <xsd:element ref="ns2:Review_x0020_Date" minOccurs="0"/>
                <xsd:element ref="ns2:Reference_x0020_To_x0020_Other_x0020_Docs" minOccurs="0"/>
                <xsd:element ref="ns2:Retention_x0020_Period_x0020__x0028_months_x0029_" minOccurs="0"/>
                <xsd:element ref="ns2:Document_x0020_Stored_x003f_" minOccurs="0"/>
                <xsd:element ref="ns2:Orchard_x0020_Folder" minOccurs="0"/>
                <xsd:element ref="ns2:Risk_x0020_Code" minOccurs="0"/>
                <xsd:element ref="ns2:Approval_x0020_Path"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ReftootherDoc1" minOccurs="0"/>
                <xsd:element ref="ns2:ReftootherDocs2" minOccurs="0"/>
                <xsd:element ref="ns2:ReftootherDocs3" minOccurs="0"/>
                <xsd:element ref="ns2:ReftootherDocs" minOccurs="0"/>
                <xsd:element ref="ns2:ReftootherDocs6" minOccurs="0"/>
                <xsd:element ref="ns2:ReftootherDocs7" minOccurs="0"/>
                <xsd:element ref="ns2:ReftootherDocs8" minOccurs="0"/>
                <xsd:element ref="ns2:ReftootherDocs9" minOccurs="0"/>
                <xsd:element ref="ns2:ReftootherDocs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87000-1fbf-4ffc-b05a-bd20d87966ff" elementFormDefault="qualified">
    <xsd:import namespace="http://schemas.microsoft.com/office/2006/documentManagement/types"/>
    <xsd:import namespace="http://schemas.microsoft.com/office/infopath/2007/PartnerControls"/>
    <xsd:element name="Reference" ma:index="2" nillable="true" ma:displayName="Reference" ma:description="QR, QP or PROC number" ma:internalName="Reference">
      <xsd:simpleType>
        <xsd:restriction base="dms:Text">
          <xsd:maxLength value="255"/>
        </xsd:restriction>
      </xsd:simpleType>
    </xsd:element>
    <xsd:element name="Pre_x0020__x002f__x0020_Post_x0020_Demerge" ma:index="3" nillable="true" ma:displayName="Pre / Post Demerge" ma:format="Dropdown" ma:internalName="Pre_x0020__x002f__x0020_Post_x0020_Demerge">
      <xsd:simpleType>
        <xsd:restriction base="dms:Choice">
          <xsd:enumeration value="Pre"/>
          <xsd:enumeration value="Post"/>
        </xsd:restriction>
      </xsd:simpleType>
    </xsd:element>
    <xsd:element name="Document_x0020_Type" ma:index="4" nillable="true" ma:displayName="Document Type" ma:format="Dropdown" ma:internalName="Document_x0020_Type">
      <xsd:simpleType>
        <xsd:restriction base="dms:Choice">
          <xsd:enumeration value="QMS Audit"/>
          <xsd:enumeration value="QMS Management Review"/>
          <xsd:enumeration value="Corporate Plan"/>
          <xsd:enumeration value="Strategy"/>
          <xsd:enumeration value="Org Chart"/>
          <xsd:enumeration value="Policy"/>
          <xsd:enumeration value="Process Map"/>
          <xsd:enumeration value="Procedure"/>
          <xsd:enumeration value="Forms, Letters, Templates"/>
          <xsd:enumeration value="HR Mandatory Training"/>
          <xsd:enumeration value="Training &amp; Advice"/>
          <xsd:enumeration value="Facilities Management"/>
          <xsd:enumeration value="Tenancy Agreement"/>
          <xsd:enumeration value="SLA &amp; NDA's"/>
          <xsd:enumeration value="External document"/>
          <xsd:enumeration value="How to Guides"/>
          <xsd:enumeration value="Legislation"/>
          <xsd:enumeration value="HSE"/>
          <xsd:enumeration value="Governance Document"/>
          <xsd:enumeration value="Legislation"/>
        </xsd:restriction>
      </xsd:simpleType>
    </xsd:element>
    <xsd:element name="Department" ma:index="5" nillable="true" ma:displayName="Department" ma:format="RadioButtons" ma:internalName="Department">
      <xsd:simpleType>
        <xsd:restriction base="dms:Choice">
          <xsd:enumeration value="Assets"/>
          <xsd:enumeration value="Business Hub"/>
          <xsd:enumeration value="Cobalt Plus"/>
          <xsd:enumeration value="Corporate Services"/>
          <xsd:enumeration value="Customer Insight"/>
          <xsd:enumeration value="Development"/>
          <xsd:enumeration value="Finance"/>
          <xsd:enumeration value="Neighbourhoods"/>
          <xsd:enumeration value="Resources"/>
          <xsd:enumeration value="Solutions"/>
          <xsd:enumeration value="GAR"/>
          <xsd:enumeration value="(blank)"/>
        </xsd:restriction>
      </xsd:simpleType>
    </xsd:element>
    <xsd:element name="Team" ma:index="6" nillable="true" ma:displayName="Team" ma:format="RadioButtons" ma:internalName="Team">
      <xsd:simpleType>
        <xsd:restriction base="dms:Choice">
          <xsd:enumeration value="Adaptations"/>
          <xsd:enumeration value="ASB"/>
          <xsd:enumeration value="Asset management"/>
          <xsd:enumeration value="Board"/>
          <xsd:enumeration value="Business Hub"/>
          <xsd:enumeration value="Cobalt Plus"/>
          <xsd:enumeration value="Compliance"/>
          <xsd:enumeration value="Contract &amp; Delivery"/>
          <xsd:enumeration value="CPD"/>
          <xsd:enumeration value="CSC"/>
          <xsd:enumeration value="Customer Insight"/>
          <xsd:enumeration value="Development"/>
          <xsd:enumeration value="EMT Governance"/>
          <xsd:enumeration value="EMT Resources"/>
          <xsd:enumeration value="Facilities Management"/>
          <xsd:enumeration value="Finance"/>
          <xsd:enumeration value="H&amp;S"/>
          <xsd:enumeration value="HR"/>
          <xsd:enumeration value="Insurance"/>
          <xsd:enumeration value="Marketing"/>
          <xsd:enumeration value="Performance &amp; Quality Assurance"/>
          <xsd:enumeration value="Procurement"/>
          <xsd:enumeration value="Project"/>
          <xsd:enumeration value="Regen"/>
          <xsd:enumeration value="Rehousing"/>
          <xsd:enumeration value="Rents"/>
          <xsd:enumeration value="Rental Income"/>
          <xsd:enumeration value="Rents translations"/>
          <xsd:enumeration value="Resident involvement"/>
          <xsd:enumeration value="Resources"/>
          <xsd:enumeration value="Solutions"/>
          <xsd:enumeration value="Tenancy Management"/>
          <xsd:enumeration value="Tenancy Wellbeing"/>
          <xsd:enumeration value="Welfare"/>
          <xsd:enumeration value="Technology and Transformation"/>
          <xsd:enumeration value="(Blank)"/>
        </xsd:restriction>
      </xsd:simpleType>
    </xsd:element>
    <xsd:element name="Owner" ma:index="7" nillable="true" ma:displayName="Owner"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8" nillable="true" ma:displayName="Review Date" ma:format="DateOnly" ma:internalName="Review_x0020_Date">
      <xsd:simpleType>
        <xsd:restriction base="dms:DateTime"/>
      </xsd:simpleType>
    </xsd:element>
    <xsd:element name="Reference_x0020_To_x0020_Other_x0020_Docs" ma:index="9" nillable="true" ma:displayName="Reference To Other Docs" ma:list="{a8387000-1fbf-4ffc-b05a-bd20d87966ff}" ma:internalName="Reference_x0020_To_x0020_Other_x0020_Docs" ma:showField="Reference">
      <xsd:complexType>
        <xsd:complexContent>
          <xsd:extension base="dms:MultiChoiceLookup">
            <xsd:sequence>
              <xsd:element name="Value" type="dms:Lookup" maxOccurs="unbounded" minOccurs="0" nillable="true"/>
            </xsd:sequence>
          </xsd:extension>
        </xsd:complexContent>
      </xsd:complexType>
    </xsd:element>
    <xsd:element name="Retention_x0020_Period_x0020__x0028_months_x0029_" ma:index="10" nillable="true" ma:displayName="Retention Period (months)" ma:internalName="Retention_x0020_Period_x0020__x0028_months_x0029_">
      <xsd:simpleType>
        <xsd:restriction base="dms:Number"/>
      </xsd:simpleType>
    </xsd:element>
    <xsd:element name="Document_x0020_Stored_x003f_" ma:index="11" nillable="true" ma:displayName="Document Stored?" ma:format="RadioButtons" ma:internalName="Document_x0020_Stored_x003f_">
      <xsd:simpleType>
        <xsd:restriction base="dms:Choice">
          <xsd:enumeration value="Orchard"/>
          <xsd:enumeration value="REACT"/>
          <xsd:enumeration value="VIP"/>
        </xsd:restriction>
      </xsd:simpleType>
    </xsd:element>
    <xsd:element name="Orchard_x0020_Folder" ma:index="12" nillable="true" ma:displayName="Orchard Folder" ma:format="RadioButtons" ma:internalName="Orchard_x0020_Folder">
      <xsd:simpleType>
        <xsd:restriction base="dms:Choice">
          <xsd:enumeration value="Person"/>
          <xsd:enumeration value="Tenancy"/>
          <xsd:enumeration value="Property"/>
          <xsd:enumeration value="Application"/>
        </xsd:restriction>
      </xsd:simpleType>
    </xsd:element>
    <xsd:element name="Risk_x0020_Code" ma:index="13" nillable="true" ma:displayName="Risk Code" ma:format="RadioButtons" ma:internalName="Risk_x0020_Code">
      <xsd:simpleType>
        <xsd:restriction base="dms:Choice">
          <xsd:enumeration value="ST"/>
          <xsd:enumeration value="NA"/>
        </xsd:restriction>
      </xsd:simpleType>
    </xsd:element>
    <xsd:element name="Approval_x0020_Path" ma:index="14" nillable="true" ma:displayName="Approval Path" ma:default="Owner" ma:format="Dropdown" ma:internalName="Approval_x0020_Path">
      <xsd:simpleType>
        <xsd:restriction base="dms:Choice">
          <xsd:enumeration value="Owner"/>
          <xsd:enumeration value="EMT"/>
          <xsd:enumeration value="EMT &gt; ARC"/>
          <xsd:enumeration value="EMT &gt; ARC&gt; Board"/>
          <xsd:enumeration value="EMT &gt; HNC"/>
          <xsd:enumeration value="EMT &gt; HNC &gt; Board"/>
          <xsd:enumeration value="NA"/>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ReftootherDoc1" ma:index="29" nillable="true" ma:displayName="Ref to other Doc 1  " ma:format="Dropdown" ma:internalName="ReftootherDoc1">
      <xsd:simpleType>
        <xsd:restriction base="dms:Text">
          <xsd:maxLength value="255"/>
        </xsd:restriction>
      </xsd:simpleType>
    </xsd:element>
    <xsd:element name="ReftootherDocs2" ma:index="30" nillable="true" ma:displayName="Ref to other Docs 2" ma:format="Dropdown" ma:internalName="ReftootherDocs2">
      <xsd:simpleType>
        <xsd:restriction base="dms:Text">
          <xsd:maxLength value="255"/>
        </xsd:restriction>
      </xsd:simpleType>
    </xsd:element>
    <xsd:element name="ReftootherDocs3" ma:index="31" nillable="true" ma:displayName="Ref to other Docs 3" ma:format="Dropdown" ma:internalName="ReftootherDocs3">
      <xsd:simpleType>
        <xsd:restriction base="dms:Text">
          <xsd:maxLength value="255"/>
        </xsd:restriction>
      </xsd:simpleType>
    </xsd:element>
    <xsd:element name="ReftootherDocs" ma:index="32" nillable="true" ma:displayName="Ref to other Docs " ma:format="Dropdown" ma:internalName="ReftootherDocs">
      <xsd:simpleType>
        <xsd:restriction base="dms:Text">
          <xsd:maxLength value="255"/>
        </xsd:restriction>
      </xsd:simpleType>
    </xsd:element>
    <xsd:element name="ReftootherDocs6" ma:index="33" nillable="true" ma:displayName="Ref to other Docs 6" ma:format="Dropdown" ma:internalName="ReftootherDocs6">
      <xsd:simpleType>
        <xsd:restriction base="dms:Text">
          <xsd:maxLength value="255"/>
        </xsd:restriction>
      </xsd:simpleType>
    </xsd:element>
    <xsd:element name="ReftootherDocs7" ma:index="34" nillable="true" ma:displayName="Ref to other Docs 7" ma:format="Dropdown" ma:internalName="ReftootherDocs7">
      <xsd:simpleType>
        <xsd:restriction base="dms:Text">
          <xsd:maxLength value="255"/>
        </xsd:restriction>
      </xsd:simpleType>
    </xsd:element>
    <xsd:element name="ReftootherDocs8" ma:index="35" nillable="true" ma:displayName="Ref to other Docs 8" ma:format="Dropdown" ma:internalName="ReftootherDocs8">
      <xsd:simpleType>
        <xsd:restriction base="dms:Text">
          <xsd:maxLength value="255"/>
        </xsd:restriction>
      </xsd:simpleType>
    </xsd:element>
    <xsd:element name="ReftootherDocs9" ma:index="36" nillable="true" ma:displayName="Ref to other Docs 9" ma:format="Dropdown" ma:internalName="ReftootherDocs9">
      <xsd:simpleType>
        <xsd:restriction base="dms:Text">
          <xsd:maxLength value="255"/>
        </xsd:restriction>
      </xsd:simpleType>
    </xsd:element>
    <xsd:element name="ReftootherDocs10" ma:index="37" nillable="true" ma:displayName="Ref to other Docs 10" ma:format="Dropdown" ma:internalName="ReftootherDocs1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bc486f-98b6-4282-b63d-e820d91b7f8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A8FBD-1DC6-4F46-B79F-91F8BF2C0C4E}">
  <ds:schemaRefs>
    <ds:schemaRef ds:uri="http://schemas.microsoft.com/office/2006/metadata/properties"/>
    <ds:schemaRef ds:uri="http://schemas.microsoft.com/office/infopath/2007/PartnerControls"/>
    <ds:schemaRef ds:uri="a8387000-1fbf-4ffc-b05a-bd20d87966ff"/>
  </ds:schemaRefs>
</ds:datastoreItem>
</file>

<file path=customXml/itemProps2.xml><?xml version="1.0" encoding="utf-8"?>
<ds:datastoreItem xmlns:ds="http://schemas.openxmlformats.org/officeDocument/2006/customXml" ds:itemID="{0633B927-96DD-46BB-95F4-EB5925DD386F}">
  <ds:schemaRefs>
    <ds:schemaRef ds:uri="http://schemas.microsoft.com/sharepoint/v3/contenttype/forms"/>
  </ds:schemaRefs>
</ds:datastoreItem>
</file>

<file path=customXml/itemProps3.xml><?xml version="1.0" encoding="utf-8"?>
<ds:datastoreItem xmlns:ds="http://schemas.openxmlformats.org/officeDocument/2006/customXml" ds:itemID="{25BED163-2319-4BCF-A939-65239D21F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87000-1fbf-4ffc-b05a-bd20d87966ff"/>
    <ds:schemaRef ds:uri="0fbc486f-98b6-4282-b63d-e820d91b7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C55AE-3979-4A16-B3A3-7B8E0A31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6</Pages>
  <Words>964</Words>
  <Characters>5497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Jackson, Joanne</cp:lastModifiedBy>
  <cp:revision>2</cp:revision>
  <cp:lastPrinted>2017-06-30T20:22:00Z</cp:lastPrinted>
  <dcterms:created xsi:type="dcterms:W3CDTF">2024-11-18T17:45:00Z</dcterms:created>
  <dcterms:modified xsi:type="dcterms:W3CDTF">2024-11-18T17:45:00Z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y fmtid="{D5CDD505-2E9C-101B-9397-08002B2CF9AE}" pid="3" name="ContentTypeId">
    <vt:lpwstr>0x010100116C8548604A1A4B97256A8A2858E5DB</vt:lpwstr>
  </property>
  <property fmtid="{D5CDD505-2E9C-101B-9397-08002B2CF9AE}" pid="4" name="Review Status">
    <vt:lpwstr>In Date</vt:lpwstr>
  </property>
  <property fmtid="{D5CDD505-2E9C-101B-9397-08002B2CF9AE}" pid="5" name="New Letterhead">
    <vt:bool>true</vt:bool>
  </property>
  <property fmtid="{D5CDD505-2E9C-101B-9397-08002B2CF9AE}" pid="6" name="ClassificationWatermarkShapeIds">
    <vt:lpwstr>1,3,4</vt:lpwstr>
  </property>
  <property fmtid="{D5CDD505-2E9C-101B-9397-08002B2CF9AE}" pid="7" name="ClassificationWatermarkFontProps">
    <vt:lpwstr>#000000,1,Calibri</vt:lpwstr>
  </property>
  <property fmtid="{D5CDD505-2E9C-101B-9397-08002B2CF9AE}" pid="8" name="ClassificationWatermarkText">
    <vt:lpwstr>Official</vt:lpwstr>
  </property>
  <property fmtid="{D5CDD505-2E9C-101B-9397-08002B2CF9AE}" pid="9" name="MSIP_Label_fa846320-6107-4951-9533-0dcc1ee88933_Enabled">
    <vt:lpwstr>true</vt:lpwstr>
  </property>
  <property fmtid="{D5CDD505-2E9C-101B-9397-08002B2CF9AE}" pid="10" name="MSIP_Label_fa846320-6107-4951-9533-0dcc1ee88933_SetDate">
    <vt:lpwstr>2024-11-18T17:45:27Z</vt:lpwstr>
  </property>
  <property fmtid="{D5CDD505-2E9C-101B-9397-08002B2CF9AE}" pid="11" name="MSIP_Label_fa846320-6107-4951-9533-0dcc1ee88933_Method">
    <vt:lpwstr>Standard</vt:lpwstr>
  </property>
  <property fmtid="{D5CDD505-2E9C-101B-9397-08002B2CF9AE}" pid="12" name="MSIP_Label_fa846320-6107-4951-9533-0dcc1ee88933_Name">
    <vt:lpwstr>Official</vt:lpwstr>
  </property>
  <property fmtid="{D5CDD505-2E9C-101B-9397-08002B2CF9AE}" pid="13" name="MSIP_Label_fa846320-6107-4951-9533-0dcc1ee88933_SiteId">
    <vt:lpwstr>270f62b3-8ca4-4d63-8a80-ffcb1f61fe04</vt:lpwstr>
  </property>
  <property fmtid="{D5CDD505-2E9C-101B-9397-08002B2CF9AE}" pid="14" name="MSIP_Label_fa846320-6107-4951-9533-0dcc1ee88933_ActionId">
    <vt:lpwstr>156d6961-7589-4b5a-abf1-4da9da493649</vt:lpwstr>
  </property>
  <property fmtid="{D5CDD505-2E9C-101B-9397-08002B2CF9AE}" pid="15" name="MSIP_Label_fa846320-6107-4951-9533-0dcc1ee88933_ContentBits">
    <vt:lpwstr>4</vt:lpwstr>
  </property>
</Properties>
</file>