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E9D0" w14:textId="77777777" w:rsidR="003A044E" w:rsidRDefault="003A044E" w:rsidP="003A044E">
      <w:pPr>
        <w:rPr>
          <w:rFonts w:cstheme="minorHAnsi"/>
          <w:b/>
          <w:color w:val="611774"/>
          <w:sz w:val="24"/>
          <w:szCs w:val="24"/>
        </w:rPr>
      </w:pPr>
    </w:p>
    <w:p w14:paraId="427C9E30" w14:textId="77777777" w:rsidR="003A044E" w:rsidRPr="00AB341D" w:rsidRDefault="003A044E" w:rsidP="003A044E">
      <w:pPr>
        <w:rPr>
          <w:rFonts w:cstheme="minorHAnsi"/>
          <w:color w:val="002060"/>
          <w:sz w:val="24"/>
          <w:szCs w:val="24"/>
        </w:rPr>
      </w:pPr>
      <w:r w:rsidRPr="00AB341D">
        <w:rPr>
          <w:rFonts w:cstheme="minorHAnsi"/>
          <w:b/>
          <w:color w:val="002060"/>
          <w:sz w:val="24"/>
          <w:szCs w:val="24"/>
        </w:rPr>
        <w:t>INFORMATION</w:t>
      </w:r>
    </w:p>
    <w:tbl>
      <w:tblPr>
        <w:tblStyle w:val="TableGrid"/>
        <w:tblW w:w="0" w:type="auto"/>
        <w:tblLook w:val="04A0" w:firstRow="1" w:lastRow="0" w:firstColumn="1" w:lastColumn="0" w:noHBand="0" w:noVBand="1"/>
      </w:tblPr>
      <w:tblGrid>
        <w:gridCol w:w="2689"/>
        <w:gridCol w:w="6327"/>
      </w:tblGrid>
      <w:tr w:rsidR="003A044E" w:rsidRPr="00BA3E3B" w14:paraId="00A1BCA6" w14:textId="77777777" w:rsidTr="00AD24D9">
        <w:tc>
          <w:tcPr>
            <w:tcW w:w="2689" w:type="dxa"/>
          </w:tcPr>
          <w:p w14:paraId="41CD782C" w14:textId="77777777" w:rsidR="003A044E" w:rsidRPr="00BA3E3B" w:rsidRDefault="003A044E" w:rsidP="00AD24D9">
            <w:pPr>
              <w:rPr>
                <w:rFonts w:cstheme="minorHAnsi"/>
                <w:b/>
                <w:sz w:val="24"/>
                <w:szCs w:val="24"/>
              </w:rPr>
            </w:pPr>
            <w:r w:rsidRPr="00BA3E3B">
              <w:rPr>
                <w:rFonts w:cstheme="minorHAnsi"/>
                <w:b/>
                <w:sz w:val="24"/>
                <w:szCs w:val="24"/>
              </w:rPr>
              <w:t>Policy Name</w:t>
            </w:r>
          </w:p>
        </w:tc>
        <w:tc>
          <w:tcPr>
            <w:tcW w:w="6327" w:type="dxa"/>
          </w:tcPr>
          <w:p w14:paraId="0287F692" w14:textId="77777777" w:rsidR="003A044E" w:rsidRDefault="003A044E" w:rsidP="00AD24D9">
            <w:pPr>
              <w:rPr>
                <w:rFonts w:cstheme="minorHAnsi"/>
                <w:b/>
                <w:sz w:val="24"/>
                <w:szCs w:val="24"/>
              </w:rPr>
            </w:pPr>
            <w:r>
              <w:rPr>
                <w:rFonts w:cstheme="minorHAnsi"/>
                <w:b/>
                <w:sz w:val="24"/>
                <w:szCs w:val="24"/>
              </w:rPr>
              <w:t>New Build Allocations Policy</w:t>
            </w:r>
          </w:p>
          <w:p w14:paraId="350AF690" w14:textId="77777777" w:rsidR="003A044E" w:rsidRPr="00BA3E3B" w:rsidRDefault="003A044E" w:rsidP="00AD24D9">
            <w:pPr>
              <w:rPr>
                <w:rFonts w:cstheme="minorHAnsi"/>
                <w:b/>
                <w:sz w:val="24"/>
                <w:szCs w:val="24"/>
              </w:rPr>
            </w:pPr>
            <w:r>
              <w:rPr>
                <w:rFonts w:cstheme="minorHAnsi"/>
                <w:b/>
                <w:sz w:val="24"/>
                <w:szCs w:val="24"/>
              </w:rPr>
              <w:t xml:space="preserve">Watchmaker Court - The Watchfactory Phase Two </w:t>
            </w:r>
          </w:p>
        </w:tc>
      </w:tr>
      <w:tr w:rsidR="003A044E" w:rsidRPr="00BA3E3B" w14:paraId="6CB5DE49" w14:textId="77777777" w:rsidTr="00AD24D9">
        <w:tc>
          <w:tcPr>
            <w:tcW w:w="2689" w:type="dxa"/>
          </w:tcPr>
          <w:p w14:paraId="57CED79D" w14:textId="77777777" w:rsidR="003A044E" w:rsidRPr="00BA3E3B" w:rsidRDefault="003A044E" w:rsidP="00AD24D9">
            <w:pPr>
              <w:rPr>
                <w:rFonts w:cstheme="minorHAnsi"/>
                <w:b/>
                <w:sz w:val="24"/>
                <w:szCs w:val="24"/>
              </w:rPr>
            </w:pPr>
            <w:r w:rsidRPr="00BA3E3B">
              <w:rPr>
                <w:rFonts w:cstheme="minorHAnsi"/>
                <w:b/>
                <w:sz w:val="24"/>
                <w:szCs w:val="24"/>
              </w:rPr>
              <w:t>Effective Date(s)</w:t>
            </w:r>
          </w:p>
        </w:tc>
        <w:tc>
          <w:tcPr>
            <w:tcW w:w="6327" w:type="dxa"/>
          </w:tcPr>
          <w:p w14:paraId="35327B6D" w14:textId="77777777" w:rsidR="003A044E" w:rsidRPr="00BA3E3B" w:rsidRDefault="003A044E" w:rsidP="00AD24D9">
            <w:pPr>
              <w:rPr>
                <w:rFonts w:cstheme="minorHAnsi"/>
                <w:b/>
                <w:sz w:val="24"/>
                <w:szCs w:val="24"/>
              </w:rPr>
            </w:pPr>
            <w:r>
              <w:rPr>
                <w:rFonts w:cstheme="minorHAnsi"/>
                <w:b/>
                <w:sz w:val="24"/>
                <w:szCs w:val="24"/>
              </w:rPr>
              <w:t>June 2024 – December 2024</w:t>
            </w:r>
          </w:p>
        </w:tc>
      </w:tr>
      <w:tr w:rsidR="003A044E" w:rsidRPr="00BA3E3B" w14:paraId="1B397362" w14:textId="77777777" w:rsidTr="00AD24D9">
        <w:tc>
          <w:tcPr>
            <w:tcW w:w="2689" w:type="dxa"/>
          </w:tcPr>
          <w:p w14:paraId="181D809F" w14:textId="77777777" w:rsidR="003A044E" w:rsidRPr="00BA3E3B" w:rsidRDefault="003A044E" w:rsidP="00AD24D9">
            <w:pPr>
              <w:rPr>
                <w:rFonts w:cstheme="minorHAnsi"/>
                <w:b/>
                <w:sz w:val="24"/>
                <w:szCs w:val="24"/>
              </w:rPr>
            </w:pPr>
            <w:r w:rsidRPr="00BA3E3B">
              <w:rPr>
                <w:rFonts w:cstheme="minorHAnsi"/>
                <w:b/>
                <w:sz w:val="24"/>
                <w:szCs w:val="24"/>
              </w:rPr>
              <w:t>Approved By</w:t>
            </w:r>
          </w:p>
        </w:tc>
        <w:tc>
          <w:tcPr>
            <w:tcW w:w="6327" w:type="dxa"/>
          </w:tcPr>
          <w:p w14:paraId="3EDC0F08" w14:textId="77777777" w:rsidR="003A044E" w:rsidRPr="00BA3E3B" w:rsidRDefault="003A044E" w:rsidP="00AD24D9">
            <w:pPr>
              <w:rPr>
                <w:rFonts w:cstheme="minorHAnsi"/>
                <w:b/>
                <w:sz w:val="24"/>
                <w:szCs w:val="24"/>
              </w:rPr>
            </w:pPr>
            <w:r>
              <w:rPr>
                <w:rFonts w:cstheme="minorHAnsi"/>
                <w:b/>
                <w:sz w:val="24"/>
                <w:szCs w:val="24"/>
              </w:rPr>
              <w:t>Director of Communities</w:t>
            </w:r>
          </w:p>
        </w:tc>
      </w:tr>
      <w:tr w:rsidR="003A044E" w:rsidRPr="00BA3E3B" w14:paraId="685740DF" w14:textId="77777777" w:rsidTr="00AD24D9">
        <w:tc>
          <w:tcPr>
            <w:tcW w:w="2689" w:type="dxa"/>
          </w:tcPr>
          <w:p w14:paraId="060C4967" w14:textId="77777777" w:rsidR="003A044E" w:rsidRPr="00BA3E3B" w:rsidRDefault="003A044E" w:rsidP="00AD24D9">
            <w:pPr>
              <w:rPr>
                <w:rFonts w:cstheme="minorHAnsi"/>
                <w:b/>
                <w:sz w:val="24"/>
                <w:szCs w:val="24"/>
              </w:rPr>
            </w:pPr>
            <w:r w:rsidRPr="00BA3E3B">
              <w:rPr>
                <w:rFonts w:cstheme="minorHAnsi"/>
                <w:b/>
                <w:sz w:val="24"/>
                <w:szCs w:val="24"/>
              </w:rPr>
              <w:t>Approval Date</w:t>
            </w:r>
          </w:p>
        </w:tc>
        <w:tc>
          <w:tcPr>
            <w:tcW w:w="6327" w:type="dxa"/>
          </w:tcPr>
          <w:p w14:paraId="20689CE2" w14:textId="77777777" w:rsidR="003A044E" w:rsidRPr="00BA3E3B" w:rsidRDefault="003A044E" w:rsidP="00AD24D9">
            <w:pPr>
              <w:rPr>
                <w:rFonts w:cstheme="minorHAnsi"/>
                <w:b/>
                <w:sz w:val="24"/>
                <w:szCs w:val="24"/>
              </w:rPr>
            </w:pPr>
            <w:r>
              <w:rPr>
                <w:rFonts w:cstheme="minorHAnsi"/>
                <w:b/>
                <w:sz w:val="24"/>
                <w:szCs w:val="24"/>
              </w:rPr>
              <w:t>May 2024</w:t>
            </w:r>
          </w:p>
        </w:tc>
      </w:tr>
      <w:tr w:rsidR="003A044E" w:rsidRPr="00BA3E3B" w14:paraId="4A16D87D" w14:textId="77777777" w:rsidTr="00AD24D9">
        <w:tc>
          <w:tcPr>
            <w:tcW w:w="2689" w:type="dxa"/>
          </w:tcPr>
          <w:p w14:paraId="7660A2BE" w14:textId="77777777" w:rsidR="003A044E" w:rsidRPr="00BA3E3B" w:rsidRDefault="003A044E" w:rsidP="00AD24D9">
            <w:pPr>
              <w:rPr>
                <w:rFonts w:cstheme="minorHAnsi"/>
                <w:b/>
                <w:sz w:val="24"/>
                <w:szCs w:val="24"/>
              </w:rPr>
            </w:pPr>
            <w:r w:rsidRPr="00BA3E3B">
              <w:rPr>
                <w:rFonts w:cstheme="minorHAnsi"/>
                <w:b/>
                <w:sz w:val="24"/>
                <w:szCs w:val="24"/>
              </w:rPr>
              <w:t>Policy Owner/Dept</w:t>
            </w:r>
          </w:p>
        </w:tc>
        <w:tc>
          <w:tcPr>
            <w:tcW w:w="6327" w:type="dxa"/>
          </w:tcPr>
          <w:p w14:paraId="74505D43" w14:textId="77777777" w:rsidR="003A044E" w:rsidRPr="00BA3E3B" w:rsidRDefault="003A044E" w:rsidP="00AD24D9">
            <w:pPr>
              <w:rPr>
                <w:rFonts w:cstheme="minorHAnsi"/>
                <w:b/>
                <w:sz w:val="24"/>
                <w:szCs w:val="24"/>
              </w:rPr>
            </w:pPr>
            <w:r>
              <w:rPr>
                <w:rFonts w:cstheme="minorHAnsi"/>
                <w:b/>
                <w:sz w:val="24"/>
                <w:szCs w:val="24"/>
              </w:rPr>
              <w:t xml:space="preserve">Director of Communities </w:t>
            </w:r>
          </w:p>
        </w:tc>
      </w:tr>
      <w:tr w:rsidR="003A044E" w:rsidRPr="00BA3E3B" w14:paraId="45680C97" w14:textId="77777777" w:rsidTr="00AD24D9">
        <w:tc>
          <w:tcPr>
            <w:tcW w:w="2689" w:type="dxa"/>
          </w:tcPr>
          <w:p w14:paraId="697C04B5" w14:textId="77777777" w:rsidR="003A044E" w:rsidRPr="00BA3E3B" w:rsidRDefault="003A044E" w:rsidP="00AD24D9">
            <w:pPr>
              <w:rPr>
                <w:rFonts w:cstheme="minorHAnsi"/>
                <w:b/>
                <w:sz w:val="24"/>
                <w:szCs w:val="24"/>
              </w:rPr>
            </w:pPr>
            <w:r w:rsidRPr="00BA3E3B">
              <w:rPr>
                <w:rFonts w:cstheme="minorHAnsi"/>
                <w:b/>
                <w:sz w:val="24"/>
                <w:szCs w:val="24"/>
              </w:rPr>
              <w:t>Policy Author</w:t>
            </w:r>
          </w:p>
        </w:tc>
        <w:tc>
          <w:tcPr>
            <w:tcW w:w="6327" w:type="dxa"/>
          </w:tcPr>
          <w:p w14:paraId="55CD70AA" w14:textId="77777777" w:rsidR="003A044E" w:rsidRPr="00BA3E3B" w:rsidRDefault="003A044E" w:rsidP="00AD24D9">
            <w:pPr>
              <w:rPr>
                <w:rFonts w:cstheme="minorHAnsi"/>
                <w:b/>
                <w:sz w:val="24"/>
                <w:szCs w:val="24"/>
              </w:rPr>
            </w:pPr>
            <w:r>
              <w:rPr>
                <w:rFonts w:cstheme="minorHAnsi"/>
                <w:b/>
                <w:sz w:val="24"/>
                <w:szCs w:val="24"/>
              </w:rPr>
              <w:t>Director of Communities</w:t>
            </w:r>
          </w:p>
        </w:tc>
      </w:tr>
      <w:tr w:rsidR="003A044E" w:rsidRPr="00BA3E3B" w14:paraId="22E56DEC" w14:textId="77777777" w:rsidTr="00AD24D9">
        <w:tc>
          <w:tcPr>
            <w:tcW w:w="2689" w:type="dxa"/>
          </w:tcPr>
          <w:p w14:paraId="43B7C6BC" w14:textId="77777777" w:rsidR="003A044E" w:rsidRPr="00BA3E3B" w:rsidRDefault="003A044E" w:rsidP="00AD24D9">
            <w:pPr>
              <w:rPr>
                <w:rFonts w:cstheme="minorHAnsi"/>
                <w:b/>
                <w:sz w:val="24"/>
                <w:szCs w:val="24"/>
              </w:rPr>
            </w:pPr>
            <w:r w:rsidRPr="00BA3E3B">
              <w:rPr>
                <w:rFonts w:cstheme="minorHAnsi"/>
                <w:b/>
                <w:sz w:val="24"/>
                <w:szCs w:val="24"/>
              </w:rPr>
              <w:t>Review Date</w:t>
            </w:r>
          </w:p>
        </w:tc>
        <w:tc>
          <w:tcPr>
            <w:tcW w:w="6327" w:type="dxa"/>
          </w:tcPr>
          <w:p w14:paraId="7C4FF7E1" w14:textId="77777777" w:rsidR="003A044E" w:rsidRPr="00BA3E3B" w:rsidRDefault="003A044E" w:rsidP="00AD24D9">
            <w:pPr>
              <w:rPr>
                <w:rFonts w:cstheme="minorHAnsi"/>
                <w:b/>
                <w:sz w:val="24"/>
                <w:szCs w:val="24"/>
              </w:rPr>
            </w:pPr>
            <w:r>
              <w:rPr>
                <w:rFonts w:cstheme="minorHAnsi"/>
                <w:b/>
                <w:sz w:val="24"/>
                <w:szCs w:val="24"/>
              </w:rPr>
              <w:t>December 2024</w:t>
            </w:r>
          </w:p>
        </w:tc>
      </w:tr>
      <w:tr w:rsidR="003A044E" w:rsidRPr="00BA3E3B" w14:paraId="721EC4B8" w14:textId="77777777" w:rsidTr="00AD24D9">
        <w:tc>
          <w:tcPr>
            <w:tcW w:w="2689" w:type="dxa"/>
          </w:tcPr>
          <w:p w14:paraId="56B6C1E3" w14:textId="77777777" w:rsidR="003A044E" w:rsidRPr="00BA3E3B" w:rsidRDefault="003A044E" w:rsidP="00AD24D9">
            <w:pPr>
              <w:rPr>
                <w:rFonts w:cstheme="minorHAnsi"/>
                <w:b/>
                <w:sz w:val="24"/>
                <w:szCs w:val="24"/>
              </w:rPr>
            </w:pPr>
            <w:r w:rsidRPr="00BA3E3B">
              <w:rPr>
                <w:rFonts w:cstheme="minorHAnsi"/>
                <w:b/>
                <w:sz w:val="24"/>
                <w:szCs w:val="24"/>
              </w:rPr>
              <w:t>Policy Framework Ref</w:t>
            </w:r>
          </w:p>
        </w:tc>
        <w:tc>
          <w:tcPr>
            <w:tcW w:w="6327" w:type="dxa"/>
          </w:tcPr>
          <w:p w14:paraId="3C39026C" w14:textId="77777777" w:rsidR="003A044E" w:rsidRPr="00BA3E3B" w:rsidRDefault="003A044E" w:rsidP="00AD24D9">
            <w:pPr>
              <w:rPr>
                <w:rFonts w:cstheme="minorHAnsi"/>
                <w:b/>
                <w:sz w:val="24"/>
                <w:szCs w:val="24"/>
              </w:rPr>
            </w:pPr>
          </w:p>
        </w:tc>
      </w:tr>
      <w:tr w:rsidR="003A044E" w:rsidRPr="00BA3E3B" w14:paraId="0E65C76F" w14:textId="77777777" w:rsidTr="00AD24D9">
        <w:tc>
          <w:tcPr>
            <w:tcW w:w="2689" w:type="dxa"/>
          </w:tcPr>
          <w:p w14:paraId="216DBEBB" w14:textId="77777777" w:rsidR="003A044E" w:rsidRPr="00BA3E3B" w:rsidRDefault="003A044E" w:rsidP="00AD24D9">
            <w:pPr>
              <w:rPr>
                <w:rFonts w:cstheme="minorHAnsi"/>
                <w:b/>
                <w:sz w:val="24"/>
                <w:szCs w:val="24"/>
              </w:rPr>
            </w:pPr>
            <w:r w:rsidRPr="00BA3E3B">
              <w:rPr>
                <w:rFonts w:cstheme="minorHAnsi"/>
                <w:b/>
                <w:sz w:val="24"/>
                <w:szCs w:val="24"/>
              </w:rPr>
              <w:t>Version Number</w:t>
            </w:r>
          </w:p>
        </w:tc>
        <w:tc>
          <w:tcPr>
            <w:tcW w:w="6327" w:type="dxa"/>
          </w:tcPr>
          <w:p w14:paraId="0A3AD764" w14:textId="52B8B71A" w:rsidR="003A044E" w:rsidRPr="00BA3E3B" w:rsidRDefault="007956DB" w:rsidP="00AD24D9">
            <w:pPr>
              <w:rPr>
                <w:rFonts w:cstheme="minorHAnsi"/>
                <w:b/>
                <w:sz w:val="24"/>
                <w:szCs w:val="24"/>
              </w:rPr>
            </w:pPr>
            <w:r>
              <w:rPr>
                <w:rFonts w:cstheme="minorHAnsi"/>
                <w:b/>
                <w:sz w:val="24"/>
                <w:szCs w:val="24"/>
              </w:rPr>
              <w:t>6</w:t>
            </w:r>
          </w:p>
        </w:tc>
      </w:tr>
    </w:tbl>
    <w:p w14:paraId="71A0B853" w14:textId="77777777" w:rsidR="003A044E" w:rsidRDefault="003A044E" w:rsidP="003A044E">
      <w:pPr>
        <w:rPr>
          <w:rFonts w:cstheme="minorHAnsi"/>
          <w:b/>
          <w:sz w:val="24"/>
          <w:szCs w:val="24"/>
        </w:rPr>
      </w:pPr>
    </w:p>
    <w:p w14:paraId="3DCC4189" w14:textId="77777777" w:rsidR="003A044E" w:rsidRPr="00E65AEF" w:rsidRDefault="003A044E" w:rsidP="003A044E">
      <w:pPr>
        <w:rPr>
          <w:rFonts w:cstheme="minorHAnsi"/>
          <w:b/>
          <w:sz w:val="24"/>
          <w:szCs w:val="24"/>
        </w:rPr>
      </w:pPr>
      <w:r w:rsidRPr="00E65AEF">
        <w:rPr>
          <w:rFonts w:cstheme="minorHAnsi"/>
          <w:b/>
          <w:sz w:val="24"/>
          <w:szCs w:val="24"/>
        </w:rPr>
        <w:t>Version Control</w:t>
      </w:r>
    </w:p>
    <w:tbl>
      <w:tblPr>
        <w:tblStyle w:val="TableGrid"/>
        <w:tblW w:w="0" w:type="auto"/>
        <w:tblLook w:val="04A0" w:firstRow="1" w:lastRow="0" w:firstColumn="1" w:lastColumn="0" w:noHBand="0" w:noVBand="1"/>
      </w:tblPr>
      <w:tblGrid>
        <w:gridCol w:w="987"/>
        <w:gridCol w:w="1396"/>
        <w:gridCol w:w="4983"/>
        <w:gridCol w:w="1650"/>
      </w:tblGrid>
      <w:tr w:rsidR="003A044E" w:rsidRPr="00E65AEF" w14:paraId="251DFCC4" w14:textId="77777777" w:rsidTr="003A044E">
        <w:tc>
          <w:tcPr>
            <w:tcW w:w="987" w:type="dxa"/>
            <w:tcBorders>
              <w:top w:val="single" w:sz="4" w:space="0" w:color="auto"/>
              <w:left w:val="single" w:sz="4" w:space="0" w:color="auto"/>
              <w:bottom w:val="single" w:sz="4" w:space="0" w:color="auto"/>
              <w:right w:val="single" w:sz="4" w:space="0" w:color="auto"/>
            </w:tcBorders>
            <w:hideMark/>
          </w:tcPr>
          <w:p w14:paraId="5FFB087F" w14:textId="77777777" w:rsidR="003A044E" w:rsidRPr="00E65AEF" w:rsidRDefault="003A044E" w:rsidP="00AD24D9">
            <w:pPr>
              <w:rPr>
                <w:rFonts w:cstheme="minorHAnsi"/>
                <w:b/>
                <w:sz w:val="24"/>
                <w:szCs w:val="24"/>
              </w:rPr>
            </w:pPr>
            <w:r w:rsidRPr="00E65AEF">
              <w:rPr>
                <w:rFonts w:cstheme="minorHAnsi"/>
                <w:b/>
                <w:sz w:val="24"/>
                <w:szCs w:val="24"/>
              </w:rPr>
              <w:t>Version</w:t>
            </w:r>
          </w:p>
        </w:tc>
        <w:tc>
          <w:tcPr>
            <w:tcW w:w="1396" w:type="dxa"/>
            <w:tcBorders>
              <w:top w:val="single" w:sz="4" w:space="0" w:color="auto"/>
              <w:left w:val="single" w:sz="4" w:space="0" w:color="auto"/>
              <w:bottom w:val="single" w:sz="4" w:space="0" w:color="auto"/>
              <w:right w:val="single" w:sz="4" w:space="0" w:color="auto"/>
            </w:tcBorders>
            <w:hideMark/>
          </w:tcPr>
          <w:p w14:paraId="3C81E746" w14:textId="77777777" w:rsidR="003A044E" w:rsidRPr="00E65AEF" w:rsidRDefault="003A044E" w:rsidP="00AD24D9">
            <w:pPr>
              <w:rPr>
                <w:rFonts w:cstheme="minorHAnsi"/>
                <w:b/>
                <w:sz w:val="24"/>
                <w:szCs w:val="24"/>
              </w:rPr>
            </w:pPr>
            <w:r w:rsidRPr="00E65AEF">
              <w:rPr>
                <w:rFonts w:cstheme="minorHAnsi"/>
                <w:b/>
                <w:sz w:val="24"/>
                <w:szCs w:val="24"/>
              </w:rPr>
              <w:t>Date</w:t>
            </w:r>
          </w:p>
        </w:tc>
        <w:tc>
          <w:tcPr>
            <w:tcW w:w="4983" w:type="dxa"/>
            <w:tcBorders>
              <w:top w:val="single" w:sz="4" w:space="0" w:color="auto"/>
              <w:left w:val="single" w:sz="4" w:space="0" w:color="auto"/>
              <w:bottom w:val="single" w:sz="4" w:space="0" w:color="auto"/>
              <w:right w:val="single" w:sz="4" w:space="0" w:color="auto"/>
            </w:tcBorders>
            <w:hideMark/>
          </w:tcPr>
          <w:p w14:paraId="5E923AED" w14:textId="77777777" w:rsidR="003A044E" w:rsidRPr="00E65AEF" w:rsidRDefault="003A044E" w:rsidP="00AD24D9">
            <w:pPr>
              <w:rPr>
                <w:rFonts w:cstheme="minorHAnsi"/>
                <w:b/>
                <w:sz w:val="24"/>
                <w:szCs w:val="24"/>
              </w:rPr>
            </w:pPr>
            <w:r w:rsidRPr="00E65AEF">
              <w:rPr>
                <w:rFonts w:cstheme="minorHAnsi"/>
                <w:b/>
                <w:sz w:val="24"/>
                <w:szCs w:val="24"/>
              </w:rPr>
              <w:t>Changes</w:t>
            </w:r>
          </w:p>
        </w:tc>
        <w:tc>
          <w:tcPr>
            <w:tcW w:w="1650" w:type="dxa"/>
            <w:tcBorders>
              <w:top w:val="single" w:sz="4" w:space="0" w:color="auto"/>
              <w:left w:val="single" w:sz="4" w:space="0" w:color="auto"/>
              <w:bottom w:val="single" w:sz="4" w:space="0" w:color="auto"/>
              <w:right w:val="single" w:sz="4" w:space="0" w:color="auto"/>
            </w:tcBorders>
            <w:hideMark/>
          </w:tcPr>
          <w:p w14:paraId="2AEB6F6A" w14:textId="77777777" w:rsidR="003A044E" w:rsidRPr="00E65AEF" w:rsidRDefault="003A044E" w:rsidP="00AD24D9">
            <w:pPr>
              <w:rPr>
                <w:rFonts w:cstheme="minorHAnsi"/>
                <w:b/>
                <w:sz w:val="24"/>
                <w:szCs w:val="24"/>
              </w:rPr>
            </w:pPr>
            <w:r w:rsidRPr="00E65AEF">
              <w:rPr>
                <w:rFonts w:cstheme="minorHAnsi"/>
                <w:b/>
                <w:sz w:val="24"/>
                <w:szCs w:val="24"/>
              </w:rPr>
              <w:t>Approver</w:t>
            </w:r>
          </w:p>
        </w:tc>
      </w:tr>
      <w:tr w:rsidR="003A044E" w:rsidRPr="009B4B2A" w14:paraId="31E2B59A" w14:textId="77777777" w:rsidTr="003A044E">
        <w:tc>
          <w:tcPr>
            <w:tcW w:w="987" w:type="dxa"/>
            <w:tcBorders>
              <w:top w:val="single" w:sz="4" w:space="0" w:color="auto"/>
              <w:left w:val="single" w:sz="4" w:space="0" w:color="auto"/>
              <w:bottom w:val="single" w:sz="4" w:space="0" w:color="auto"/>
              <w:right w:val="single" w:sz="4" w:space="0" w:color="auto"/>
            </w:tcBorders>
          </w:tcPr>
          <w:p w14:paraId="0A76BB15" w14:textId="77777777" w:rsidR="003A044E" w:rsidRPr="00E65AEF" w:rsidRDefault="003A044E" w:rsidP="00AD24D9">
            <w:pPr>
              <w:rPr>
                <w:rFonts w:cstheme="minorHAnsi"/>
                <w:b/>
                <w:sz w:val="24"/>
                <w:szCs w:val="24"/>
              </w:rPr>
            </w:pPr>
            <w:r>
              <w:rPr>
                <w:rFonts w:cstheme="minorHAnsi"/>
                <w:b/>
                <w:sz w:val="24"/>
                <w:szCs w:val="24"/>
              </w:rPr>
              <w:t>1</w:t>
            </w:r>
          </w:p>
        </w:tc>
        <w:tc>
          <w:tcPr>
            <w:tcW w:w="1396" w:type="dxa"/>
            <w:tcBorders>
              <w:top w:val="single" w:sz="4" w:space="0" w:color="auto"/>
              <w:left w:val="single" w:sz="4" w:space="0" w:color="auto"/>
              <w:bottom w:val="single" w:sz="4" w:space="0" w:color="auto"/>
              <w:right w:val="single" w:sz="4" w:space="0" w:color="auto"/>
            </w:tcBorders>
          </w:tcPr>
          <w:p w14:paraId="07F3B9DF" w14:textId="1E4C7500" w:rsidR="003A044E" w:rsidRPr="00E65AEF" w:rsidRDefault="003A044E" w:rsidP="00AD24D9">
            <w:pPr>
              <w:rPr>
                <w:rFonts w:cstheme="minorHAnsi"/>
                <w:b/>
                <w:sz w:val="24"/>
                <w:szCs w:val="24"/>
              </w:rPr>
            </w:pPr>
            <w:r>
              <w:rPr>
                <w:rFonts w:cstheme="minorHAnsi"/>
                <w:b/>
                <w:sz w:val="24"/>
                <w:szCs w:val="24"/>
              </w:rPr>
              <w:t>14/05/2024</w:t>
            </w:r>
          </w:p>
        </w:tc>
        <w:tc>
          <w:tcPr>
            <w:tcW w:w="4983" w:type="dxa"/>
            <w:tcBorders>
              <w:top w:val="single" w:sz="4" w:space="0" w:color="auto"/>
              <w:left w:val="single" w:sz="4" w:space="0" w:color="auto"/>
              <w:bottom w:val="single" w:sz="4" w:space="0" w:color="auto"/>
              <w:right w:val="single" w:sz="4" w:space="0" w:color="auto"/>
            </w:tcBorders>
          </w:tcPr>
          <w:p w14:paraId="2C2E5E0E" w14:textId="77777777" w:rsidR="003A044E" w:rsidRPr="00E65AEF" w:rsidRDefault="003A044E" w:rsidP="00AD24D9">
            <w:pPr>
              <w:rPr>
                <w:rFonts w:cstheme="minorHAnsi"/>
                <w:b/>
                <w:sz w:val="24"/>
                <w:szCs w:val="24"/>
              </w:rPr>
            </w:pPr>
          </w:p>
        </w:tc>
        <w:tc>
          <w:tcPr>
            <w:tcW w:w="1650" w:type="dxa"/>
            <w:tcBorders>
              <w:top w:val="single" w:sz="4" w:space="0" w:color="auto"/>
              <w:left w:val="single" w:sz="4" w:space="0" w:color="auto"/>
              <w:bottom w:val="single" w:sz="4" w:space="0" w:color="auto"/>
              <w:right w:val="single" w:sz="4" w:space="0" w:color="auto"/>
            </w:tcBorders>
          </w:tcPr>
          <w:p w14:paraId="09DB01DA" w14:textId="7BD44694" w:rsidR="003A044E" w:rsidRPr="00E65AEF" w:rsidRDefault="003A044E" w:rsidP="00AD24D9">
            <w:pPr>
              <w:rPr>
                <w:rFonts w:cstheme="minorHAnsi"/>
                <w:b/>
                <w:sz w:val="24"/>
                <w:szCs w:val="24"/>
              </w:rPr>
            </w:pPr>
            <w:r>
              <w:rPr>
                <w:rFonts w:cstheme="minorHAnsi"/>
                <w:b/>
                <w:sz w:val="24"/>
                <w:szCs w:val="24"/>
              </w:rPr>
              <w:t>Sarah Smith</w:t>
            </w:r>
          </w:p>
        </w:tc>
      </w:tr>
      <w:tr w:rsidR="003A044E" w:rsidRPr="009B4B2A" w14:paraId="6EEBEBC8" w14:textId="77777777" w:rsidTr="003A044E">
        <w:tc>
          <w:tcPr>
            <w:tcW w:w="987" w:type="dxa"/>
            <w:tcBorders>
              <w:top w:val="single" w:sz="4" w:space="0" w:color="auto"/>
              <w:left w:val="single" w:sz="4" w:space="0" w:color="auto"/>
              <w:bottom w:val="single" w:sz="4" w:space="0" w:color="auto"/>
              <w:right w:val="single" w:sz="4" w:space="0" w:color="auto"/>
            </w:tcBorders>
          </w:tcPr>
          <w:p w14:paraId="5394B82D" w14:textId="6BC13ADC" w:rsidR="003A044E" w:rsidRDefault="003A044E" w:rsidP="00AD24D9">
            <w:pPr>
              <w:rPr>
                <w:rFonts w:cstheme="minorHAnsi"/>
                <w:b/>
                <w:sz w:val="24"/>
                <w:szCs w:val="24"/>
              </w:rPr>
            </w:pPr>
            <w:r>
              <w:rPr>
                <w:rFonts w:cstheme="minorHAnsi"/>
                <w:b/>
                <w:sz w:val="24"/>
                <w:szCs w:val="24"/>
              </w:rPr>
              <w:t>2</w:t>
            </w:r>
          </w:p>
        </w:tc>
        <w:tc>
          <w:tcPr>
            <w:tcW w:w="1396" w:type="dxa"/>
            <w:tcBorders>
              <w:top w:val="single" w:sz="4" w:space="0" w:color="auto"/>
              <w:left w:val="single" w:sz="4" w:space="0" w:color="auto"/>
              <w:bottom w:val="single" w:sz="4" w:space="0" w:color="auto"/>
              <w:right w:val="single" w:sz="4" w:space="0" w:color="auto"/>
            </w:tcBorders>
          </w:tcPr>
          <w:p w14:paraId="0B6A81A6" w14:textId="070CAA04" w:rsidR="003A044E" w:rsidRDefault="003A044E" w:rsidP="00AD24D9">
            <w:pPr>
              <w:rPr>
                <w:rFonts w:cstheme="minorHAnsi"/>
                <w:b/>
                <w:sz w:val="24"/>
                <w:szCs w:val="24"/>
              </w:rPr>
            </w:pPr>
            <w:r>
              <w:rPr>
                <w:rFonts w:cstheme="minorHAnsi"/>
                <w:b/>
                <w:sz w:val="24"/>
                <w:szCs w:val="24"/>
              </w:rPr>
              <w:t>15/05/2024</w:t>
            </w:r>
          </w:p>
        </w:tc>
        <w:tc>
          <w:tcPr>
            <w:tcW w:w="4983" w:type="dxa"/>
            <w:tcBorders>
              <w:top w:val="single" w:sz="4" w:space="0" w:color="auto"/>
              <w:left w:val="single" w:sz="4" w:space="0" w:color="auto"/>
              <w:bottom w:val="single" w:sz="4" w:space="0" w:color="auto"/>
              <w:right w:val="single" w:sz="4" w:space="0" w:color="auto"/>
            </w:tcBorders>
          </w:tcPr>
          <w:p w14:paraId="7D4E1C65" w14:textId="7501D15C" w:rsidR="003A044E" w:rsidRDefault="003A044E" w:rsidP="00AD24D9">
            <w:pPr>
              <w:rPr>
                <w:rFonts w:cstheme="minorHAnsi"/>
                <w:bCs/>
                <w:sz w:val="24"/>
                <w:szCs w:val="24"/>
              </w:rPr>
            </w:pPr>
            <w:r>
              <w:rPr>
                <w:rFonts w:cstheme="minorHAnsi"/>
                <w:bCs/>
                <w:sz w:val="24"/>
                <w:szCs w:val="24"/>
              </w:rPr>
              <w:t>Number of applicants on HRA – to be reflective of those over 50+ rather than all ages. Insertion of number of transfer applicants on HRA under occupying by one or two beds.</w:t>
            </w:r>
          </w:p>
          <w:p w14:paraId="0741653F" w14:textId="77777777" w:rsidR="003A044E" w:rsidRDefault="003A044E" w:rsidP="00AD24D9">
            <w:pPr>
              <w:rPr>
                <w:rFonts w:cstheme="minorHAnsi"/>
                <w:bCs/>
                <w:sz w:val="24"/>
                <w:szCs w:val="24"/>
              </w:rPr>
            </w:pPr>
            <w:r>
              <w:rPr>
                <w:rFonts w:cstheme="minorHAnsi"/>
                <w:bCs/>
                <w:sz w:val="24"/>
                <w:szCs w:val="24"/>
              </w:rPr>
              <w:t xml:space="preserve">Preference to Knowsley applicants for first round of lets. </w:t>
            </w:r>
          </w:p>
          <w:p w14:paraId="0FFC74FB" w14:textId="19131CFD" w:rsidR="003A044E" w:rsidRPr="003A044E" w:rsidRDefault="003A044E" w:rsidP="00AD24D9">
            <w:pPr>
              <w:rPr>
                <w:rFonts w:cstheme="minorHAnsi"/>
                <w:bCs/>
                <w:sz w:val="24"/>
                <w:szCs w:val="24"/>
              </w:rPr>
            </w:pPr>
            <w:r>
              <w:rPr>
                <w:rFonts w:cstheme="minorHAnsi"/>
                <w:bCs/>
                <w:sz w:val="24"/>
                <w:szCs w:val="24"/>
              </w:rPr>
              <w:t xml:space="preserve">Staggered advertising. </w:t>
            </w:r>
          </w:p>
        </w:tc>
        <w:tc>
          <w:tcPr>
            <w:tcW w:w="1650" w:type="dxa"/>
            <w:tcBorders>
              <w:top w:val="single" w:sz="4" w:space="0" w:color="auto"/>
              <w:left w:val="single" w:sz="4" w:space="0" w:color="auto"/>
              <w:bottom w:val="single" w:sz="4" w:space="0" w:color="auto"/>
              <w:right w:val="single" w:sz="4" w:space="0" w:color="auto"/>
            </w:tcBorders>
          </w:tcPr>
          <w:p w14:paraId="63207316" w14:textId="77777777" w:rsidR="003A044E" w:rsidRDefault="003A044E" w:rsidP="00AD24D9">
            <w:pPr>
              <w:rPr>
                <w:rFonts w:cstheme="minorHAnsi"/>
                <w:b/>
                <w:sz w:val="24"/>
                <w:szCs w:val="24"/>
              </w:rPr>
            </w:pPr>
          </w:p>
        </w:tc>
      </w:tr>
      <w:tr w:rsidR="00B971BB" w:rsidRPr="009B4B2A" w14:paraId="1BDA19E0" w14:textId="77777777" w:rsidTr="003A044E">
        <w:tc>
          <w:tcPr>
            <w:tcW w:w="987" w:type="dxa"/>
            <w:tcBorders>
              <w:top w:val="single" w:sz="4" w:space="0" w:color="auto"/>
              <w:left w:val="single" w:sz="4" w:space="0" w:color="auto"/>
              <w:bottom w:val="single" w:sz="4" w:space="0" w:color="auto"/>
              <w:right w:val="single" w:sz="4" w:space="0" w:color="auto"/>
            </w:tcBorders>
          </w:tcPr>
          <w:p w14:paraId="6A5D9594" w14:textId="191F6DA2" w:rsidR="00B971BB" w:rsidRDefault="00B971BB" w:rsidP="00AD24D9">
            <w:pPr>
              <w:rPr>
                <w:rFonts w:cstheme="minorHAnsi"/>
                <w:b/>
                <w:sz w:val="24"/>
                <w:szCs w:val="24"/>
              </w:rPr>
            </w:pPr>
            <w:r>
              <w:rPr>
                <w:rFonts w:cstheme="minorHAnsi"/>
                <w:b/>
                <w:sz w:val="24"/>
                <w:szCs w:val="24"/>
              </w:rPr>
              <w:t>3</w:t>
            </w:r>
          </w:p>
        </w:tc>
        <w:tc>
          <w:tcPr>
            <w:tcW w:w="1396" w:type="dxa"/>
            <w:tcBorders>
              <w:top w:val="single" w:sz="4" w:space="0" w:color="auto"/>
              <w:left w:val="single" w:sz="4" w:space="0" w:color="auto"/>
              <w:bottom w:val="single" w:sz="4" w:space="0" w:color="auto"/>
              <w:right w:val="single" w:sz="4" w:space="0" w:color="auto"/>
            </w:tcBorders>
          </w:tcPr>
          <w:p w14:paraId="234032A6" w14:textId="2681B437" w:rsidR="00B971BB" w:rsidRDefault="00B971BB" w:rsidP="00AD24D9">
            <w:pPr>
              <w:rPr>
                <w:rFonts w:cstheme="minorHAnsi"/>
                <w:b/>
                <w:sz w:val="24"/>
                <w:szCs w:val="24"/>
              </w:rPr>
            </w:pPr>
            <w:r>
              <w:rPr>
                <w:rFonts w:cstheme="minorHAnsi"/>
                <w:b/>
                <w:sz w:val="24"/>
                <w:szCs w:val="24"/>
              </w:rPr>
              <w:t>20/05/2024</w:t>
            </w:r>
          </w:p>
        </w:tc>
        <w:tc>
          <w:tcPr>
            <w:tcW w:w="4983" w:type="dxa"/>
            <w:tcBorders>
              <w:top w:val="single" w:sz="4" w:space="0" w:color="auto"/>
              <w:left w:val="single" w:sz="4" w:space="0" w:color="auto"/>
              <w:bottom w:val="single" w:sz="4" w:space="0" w:color="auto"/>
              <w:right w:val="single" w:sz="4" w:space="0" w:color="auto"/>
            </w:tcBorders>
          </w:tcPr>
          <w:p w14:paraId="70E3C2A6" w14:textId="1375328D" w:rsidR="00B971BB" w:rsidRDefault="00B971BB" w:rsidP="00AD24D9">
            <w:pPr>
              <w:rPr>
                <w:rFonts w:cstheme="minorHAnsi"/>
                <w:bCs/>
                <w:sz w:val="24"/>
                <w:szCs w:val="24"/>
              </w:rPr>
            </w:pPr>
            <w:r>
              <w:rPr>
                <w:rFonts w:cstheme="minorHAnsi"/>
                <w:bCs/>
                <w:sz w:val="24"/>
                <w:szCs w:val="24"/>
              </w:rPr>
              <w:t xml:space="preserve">Proportion/ percentage of properties by banding/transfer applicants amended. </w:t>
            </w:r>
          </w:p>
        </w:tc>
        <w:tc>
          <w:tcPr>
            <w:tcW w:w="1650" w:type="dxa"/>
            <w:tcBorders>
              <w:top w:val="single" w:sz="4" w:space="0" w:color="auto"/>
              <w:left w:val="single" w:sz="4" w:space="0" w:color="auto"/>
              <w:bottom w:val="single" w:sz="4" w:space="0" w:color="auto"/>
              <w:right w:val="single" w:sz="4" w:space="0" w:color="auto"/>
            </w:tcBorders>
          </w:tcPr>
          <w:p w14:paraId="6CAF4AEB" w14:textId="77777777" w:rsidR="00B971BB" w:rsidRDefault="00B971BB" w:rsidP="00AD24D9">
            <w:pPr>
              <w:rPr>
                <w:rFonts w:cstheme="minorHAnsi"/>
                <w:b/>
                <w:sz w:val="24"/>
                <w:szCs w:val="24"/>
              </w:rPr>
            </w:pPr>
          </w:p>
        </w:tc>
      </w:tr>
    </w:tbl>
    <w:p w14:paraId="615DB1A1" w14:textId="77777777" w:rsidR="003A044E" w:rsidRPr="009B4B2A" w:rsidRDefault="003A044E" w:rsidP="003A044E">
      <w:pPr>
        <w:rPr>
          <w:rFonts w:cstheme="minorHAnsi"/>
          <w:b/>
          <w:sz w:val="24"/>
          <w:szCs w:val="24"/>
        </w:rPr>
      </w:pPr>
      <w:r w:rsidRPr="009B4B2A">
        <w:rPr>
          <w:rFonts w:cstheme="minorHAnsi"/>
          <w:b/>
          <w:sz w:val="24"/>
          <w:szCs w:val="24"/>
        </w:rPr>
        <w:tab/>
      </w:r>
    </w:p>
    <w:tbl>
      <w:tblPr>
        <w:tblStyle w:val="TableGrid"/>
        <w:tblW w:w="0" w:type="auto"/>
        <w:tblLook w:val="04A0" w:firstRow="1" w:lastRow="0" w:firstColumn="1" w:lastColumn="0" w:noHBand="0" w:noVBand="1"/>
      </w:tblPr>
      <w:tblGrid>
        <w:gridCol w:w="2263"/>
        <w:gridCol w:w="6753"/>
      </w:tblGrid>
      <w:tr w:rsidR="003A044E" w:rsidRPr="00BA3E3B" w14:paraId="623E4F88" w14:textId="77777777" w:rsidTr="00AD24D9">
        <w:tc>
          <w:tcPr>
            <w:tcW w:w="2263" w:type="dxa"/>
          </w:tcPr>
          <w:p w14:paraId="627461C6" w14:textId="77777777" w:rsidR="003A044E" w:rsidRPr="009B4B2A" w:rsidRDefault="003A044E" w:rsidP="00AD24D9">
            <w:pPr>
              <w:rPr>
                <w:rFonts w:cstheme="minorHAnsi"/>
                <w:b/>
                <w:sz w:val="24"/>
                <w:szCs w:val="24"/>
              </w:rPr>
            </w:pPr>
            <w:r w:rsidRPr="009B4B2A">
              <w:rPr>
                <w:rFonts w:cstheme="minorHAnsi"/>
                <w:b/>
                <w:sz w:val="24"/>
                <w:szCs w:val="24"/>
              </w:rPr>
              <w:t>Relevant National Standards or Regulation</w:t>
            </w:r>
          </w:p>
        </w:tc>
        <w:tc>
          <w:tcPr>
            <w:tcW w:w="6753" w:type="dxa"/>
          </w:tcPr>
          <w:p w14:paraId="25D7E58A" w14:textId="77777777" w:rsidR="003A044E" w:rsidRDefault="003A044E" w:rsidP="00AD24D9">
            <w:pPr>
              <w:pStyle w:val="ListParagraph"/>
              <w:numPr>
                <w:ilvl w:val="0"/>
                <w:numId w:val="1"/>
              </w:numPr>
              <w:rPr>
                <w:rFonts w:cstheme="minorHAnsi"/>
                <w:sz w:val="24"/>
                <w:szCs w:val="24"/>
              </w:rPr>
            </w:pPr>
            <w:r>
              <w:rPr>
                <w:rFonts w:cstheme="minorHAnsi"/>
                <w:sz w:val="24"/>
                <w:szCs w:val="24"/>
              </w:rPr>
              <w:t>Consumer Standards 2024</w:t>
            </w:r>
          </w:p>
          <w:p w14:paraId="668D953B" w14:textId="77777777" w:rsidR="003A044E" w:rsidRPr="009B4B2A" w:rsidRDefault="003A044E" w:rsidP="00AD24D9">
            <w:pPr>
              <w:pStyle w:val="ListParagraph"/>
              <w:numPr>
                <w:ilvl w:val="0"/>
                <w:numId w:val="1"/>
              </w:numPr>
              <w:rPr>
                <w:rFonts w:cstheme="minorHAnsi"/>
                <w:sz w:val="24"/>
                <w:szCs w:val="24"/>
              </w:rPr>
            </w:pPr>
            <w:r>
              <w:rPr>
                <w:rFonts w:cstheme="minorHAnsi"/>
                <w:sz w:val="24"/>
                <w:szCs w:val="24"/>
              </w:rPr>
              <w:t>Rent Standard</w:t>
            </w:r>
          </w:p>
          <w:p w14:paraId="60A2D7D1" w14:textId="77777777" w:rsidR="003A044E" w:rsidRPr="00302A5D" w:rsidRDefault="003A044E" w:rsidP="00AD24D9">
            <w:pPr>
              <w:pStyle w:val="ListParagraph"/>
              <w:rPr>
                <w:rFonts w:cstheme="minorHAnsi"/>
                <w:sz w:val="24"/>
                <w:szCs w:val="24"/>
              </w:rPr>
            </w:pPr>
          </w:p>
        </w:tc>
      </w:tr>
    </w:tbl>
    <w:p w14:paraId="0B7DEFBF" w14:textId="77777777" w:rsidR="003A044E" w:rsidRPr="00BA3E3B" w:rsidRDefault="003A044E" w:rsidP="003A044E">
      <w:pPr>
        <w:rPr>
          <w:rFonts w:cstheme="minorHAnsi"/>
          <w:b/>
          <w:sz w:val="24"/>
          <w:szCs w:val="24"/>
        </w:rPr>
      </w:pPr>
    </w:p>
    <w:tbl>
      <w:tblPr>
        <w:tblStyle w:val="TableGrid"/>
        <w:tblW w:w="0" w:type="auto"/>
        <w:tblLook w:val="04A0" w:firstRow="1" w:lastRow="0" w:firstColumn="1" w:lastColumn="0" w:noHBand="0" w:noVBand="1"/>
      </w:tblPr>
      <w:tblGrid>
        <w:gridCol w:w="2263"/>
        <w:gridCol w:w="6753"/>
      </w:tblGrid>
      <w:tr w:rsidR="003A044E" w:rsidRPr="00BA3E3B" w14:paraId="4570DF1B" w14:textId="77777777" w:rsidTr="00AD24D9">
        <w:tc>
          <w:tcPr>
            <w:tcW w:w="2263" w:type="dxa"/>
          </w:tcPr>
          <w:p w14:paraId="796335F8" w14:textId="77777777" w:rsidR="003A044E" w:rsidRPr="00BA3E3B" w:rsidRDefault="003A044E" w:rsidP="00AD24D9">
            <w:pPr>
              <w:rPr>
                <w:rFonts w:cstheme="minorHAnsi"/>
                <w:b/>
                <w:sz w:val="24"/>
                <w:szCs w:val="24"/>
              </w:rPr>
            </w:pPr>
            <w:r w:rsidRPr="00BA3E3B">
              <w:rPr>
                <w:rFonts w:cstheme="minorHAnsi"/>
                <w:b/>
                <w:sz w:val="24"/>
                <w:szCs w:val="24"/>
              </w:rPr>
              <w:t>Relevant Legislation</w:t>
            </w:r>
          </w:p>
        </w:tc>
        <w:tc>
          <w:tcPr>
            <w:tcW w:w="6753" w:type="dxa"/>
          </w:tcPr>
          <w:p w14:paraId="6E1A6526" w14:textId="77777777" w:rsidR="003A044E" w:rsidRDefault="003A044E" w:rsidP="00AD24D9">
            <w:pPr>
              <w:pStyle w:val="ListParagraph"/>
              <w:numPr>
                <w:ilvl w:val="0"/>
                <w:numId w:val="1"/>
              </w:numPr>
              <w:rPr>
                <w:rFonts w:cstheme="minorHAnsi"/>
                <w:sz w:val="24"/>
                <w:szCs w:val="24"/>
              </w:rPr>
            </w:pPr>
            <w:r>
              <w:rPr>
                <w:rFonts w:cstheme="minorHAnsi"/>
                <w:sz w:val="24"/>
                <w:szCs w:val="24"/>
              </w:rPr>
              <w:t>Housing Act 1988</w:t>
            </w:r>
          </w:p>
          <w:p w14:paraId="05A75EF7" w14:textId="77777777" w:rsidR="003A044E" w:rsidRPr="00306BEA" w:rsidRDefault="003A044E" w:rsidP="00AD24D9">
            <w:pPr>
              <w:pStyle w:val="ListParagraph"/>
              <w:numPr>
                <w:ilvl w:val="0"/>
                <w:numId w:val="1"/>
              </w:numPr>
              <w:rPr>
                <w:rFonts w:cstheme="minorHAnsi"/>
                <w:sz w:val="24"/>
                <w:szCs w:val="24"/>
              </w:rPr>
            </w:pPr>
            <w:r w:rsidRPr="00306BEA">
              <w:rPr>
                <w:rFonts w:cstheme="minorHAnsi"/>
                <w:sz w:val="24"/>
                <w:szCs w:val="24"/>
              </w:rPr>
              <w:t>Housing Act 1996</w:t>
            </w:r>
          </w:p>
          <w:p w14:paraId="00F2DC76" w14:textId="77777777" w:rsidR="003A044E" w:rsidRPr="00306BEA" w:rsidRDefault="003A044E" w:rsidP="00AD24D9">
            <w:pPr>
              <w:pStyle w:val="ListParagraph"/>
              <w:numPr>
                <w:ilvl w:val="0"/>
                <w:numId w:val="1"/>
              </w:numPr>
              <w:rPr>
                <w:rFonts w:cstheme="minorHAnsi"/>
                <w:sz w:val="24"/>
                <w:szCs w:val="24"/>
              </w:rPr>
            </w:pPr>
            <w:r w:rsidRPr="00306BEA">
              <w:rPr>
                <w:rFonts w:cstheme="minorHAnsi"/>
                <w:sz w:val="24"/>
                <w:szCs w:val="24"/>
              </w:rPr>
              <w:t>Homelessness Act 2002</w:t>
            </w:r>
          </w:p>
          <w:p w14:paraId="00004D39" w14:textId="77777777" w:rsidR="003A044E" w:rsidRPr="00306BEA" w:rsidRDefault="003A044E" w:rsidP="00AD24D9">
            <w:pPr>
              <w:pStyle w:val="ListParagraph"/>
              <w:numPr>
                <w:ilvl w:val="0"/>
                <w:numId w:val="1"/>
              </w:numPr>
              <w:rPr>
                <w:rFonts w:cstheme="minorHAnsi"/>
                <w:sz w:val="24"/>
                <w:szCs w:val="24"/>
              </w:rPr>
            </w:pPr>
            <w:r w:rsidRPr="00306BEA">
              <w:rPr>
                <w:rFonts w:cstheme="minorHAnsi"/>
                <w:sz w:val="24"/>
                <w:szCs w:val="24"/>
              </w:rPr>
              <w:t>Equality Act 2010</w:t>
            </w:r>
          </w:p>
          <w:p w14:paraId="269F3995" w14:textId="77777777" w:rsidR="003A044E" w:rsidRPr="00BA3E3B" w:rsidRDefault="003A044E" w:rsidP="00AD24D9">
            <w:pPr>
              <w:pStyle w:val="ListParagraph"/>
              <w:numPr>
                <w:ilvl w:val="0"/>
                <w:numId w:val="1"/>
              </w:numPr>
              <w:rPr>
                <w:rFonts w:cstheme="minorHAnsi"/>
                <w:b/>
                <w:sz w:val="24"/>
                <w:szCs w:val="24"/>
              </w:rPr>
            </w:pPr>
            <w:r w:rsidRPr="00306BEA">
              <w:rPr>
                <w:rFonts w:cstheme="minorHAnsi"/>
                <w:sz w:val="24"/>
                <w:szCs w:val="24"/>
              </w:rPr>
              <w:t>Localism Act 2011</w:t>
            </w:r>
          </w:p>
        </w:tc>
      </w:tr>
    </w:tbl>
    <w:p w14:paraId="162BF7B6" w14:textId="77777777" w:rsidR="003A044E" w:rsidRDefault="003A044E" w:rsidP="003A044E">
      <w:pPr>
        <w:rPr>
          <w:rFonts w:cstheme="minorHAnsi"/>
          <w:b/>
          <w:sz w:val="24"/>
          <w:szCs w:val="24"/>
        </w:rPr>
      </w:pPr>
    </w:p>
    <w:p w14:paraId="2FCABFFC" w14:textId="77777777" w:rsidR="003A044E" w:rsidRPr="00BA3E3B" w:rsidRDefault="003A044E" w:rsidP="003A044E">
      <w:pPr>
        <w:pStyle w:val="ListParagraph"/>
        <w:numPr>
          <w:ilvl w:val="0"/>
          <w:numId w:val="2"/>
        </w:numPr>
        <w:rPr>
          <w:rFonts w:cstheme="minorHAnsi"/>
          <w:b/>
          <w:sz w:val="24"/>
          <w:szCs w:val="24"/>
        </w:rPr>
      </w:pPr>
      <w:r w:rsidRPr="00BA3E3B">
        <w:rPr>
          <w:rFonts w:cstheme="minorHAnsi"/>
          <w:b/>
          <w:sz w:val="24"/>
          <w:szCs w:val="24"/>
        </w:rPr>
        <w:t xml:space="preserve">Purpose </w:t>
      </w:r>
    </w:p>
    <w:p w14:paraId="13F44A73" w14:textId="0D3DEC5C" w:rsidR="00D14980" w:rsidRDefault="003A044E" w:rsidP="00D14980">
      <w:pPr>
        <w:ind w:left="360"/>
        <w:jc w:val="both"/>
        <w:rPr>
          <w:rFonts w:cstheme="minorHAnsi"/>
          <w:sz w:val="24"/>
          <w:szCs w:val="24"/>
        </w:rPr>
      </w:pPr>
      <w:r w:rsidRPr="00BB6B44">
        <w:rPr>
          <w:rFonts w:cstheme="minorHAnsi"/>
          <w:sz w:val="24"/>
          <w:szCs w:val="24"/>
        </w:rPr>
        <w:t>This policy aims to effectively manage the affordable rent homes</w:t>
      </w:r>
      <w:r w:rsidR="0051470E">
        <w:rPr>
          <w:rFonts w:cstheme="minorHAnsi"/>
          <w:sz w:val="24"/>
          <w:szCs w:val="24"/>
        </w:rPr>
        <w:t xml:space="preserve"> located</w:t>
      </w:r>
      <w:r w:rsidRPr="00BB6B44">
        <w:rPr>
          <w:rFonts w:cstheme="minorHAnsi"/>
          <w:sz w:val="24"/>
          <w:szCs w:val="24"/>
        </w:rPr>
        <w:t xml:space="preserve"> at</w:t>
      </w:r>
      <w:r>
        <w:rPr>
          <w:rFonts w:cstheme="minorHAnsi"/>
          <w:sz w:val="24"/>
          <w:szCs w:val="24"/>
        </w:rPr>
        <w:t xml:space="preserve"> Watchmaker Court,</w:t>
      </w:r>
      <w:r w:rsidRPr="00BB6B44">
        <w:rPr>
          <w:rFonts w:cstheme="minorHAnsi"/>
          <w:sz w:val="24"/>
          <w:szCs w:val="24"/>
        </w:rPr>
        <w:t xml:space="preserve"> </w:t>
      </w:r>
      <w:r w:rsidR="0051470E">
        <w:rPr>
          <w:rFonts w:cstheme="minorHAnsi"/>
          <w:sz w:val="24"/>
          <w:szCs w:val="24"/>
        </w:rPr>
        <w:t xml:space="preserve">part of </w:t>
      </w:r>
      <w:r>
        <w:rPr>
          <w:rFonts w:cstheme="minorHAnsi"/>
          <w:sz w:val="24"/>
          <w:szCs w:val="24"/>
        </w:rPr>
        <w:t>The Watchfactory Phase Two</w:t>
      </w:r>
      <w:r w:rsidR="001F58CD">
        <w:rPr>
          <w:rFonts w:cstheme="minorHAnsi"/>
          <w:sz w:val="24"/>
          <w:szCs w:val="24"/>
        </w:rPr>
        <w:t xml:space="preserve"> development</w:t>
      </w:r>
      <w:r w:rsidR="0051470E">
        <w:rPr>
          <w:rFonts w:cstheme="minorHAnsi"/>
          <w:sz w:val="24"/>
          <w:szCs w:val="24"/>
        </w:rPr>
        <w:t xml:space="preserve"> in </w:t>
      </w:r>
      <w:r>
        <w:rPr>
          <w:rFonts w:cstheme="minorHAnsi"/>
          <w:sz w:val="24"/>
          <w:szCs w:val="24"/>
        </w:rPr>
        <w:t>Prescot.</w:t>
      </w:r>
    </w:p>
    <w:p w14:paraId="4FD35A49" w14:textId="77777777" w:rsidR="00D14980" w:rsidRDefault="00D14980" w:rsidP="003A044E">
      <w:pPr>
        <w:ind w:left="360"/>
        <w:rPr>
          <w:rFonts w:cstheme="minorHAnsi"/>
          <w:sz w:val="24"/>
          <w:szCs w:val="24"/>
        </w:rPr>
      </w:pPr>
    </w:p>
    <w:p w14:paraId="1033E93C" w14:textId="725C0908" w:rsidR="003A044E" w:rsidRPr="00BB6B44" w:rsidRDefault="003A044E" w:rsidP="003A044E">
      <w:pPr>
        <w:ind w:left="360"/>
        <w:rPr>
          <w:rFonts w:cstheme="minorHAnsi"/>
          <w:sz w:val="24"/>
          <w:szCs w:val="24"/>
        </w:rPr>
      </w:pPr>
      <w:r>
        <w:rPr>
          <w:rFonts w:cstheme="minorHAnsi"/>
          <w:sz w:val="24"/>
          <w:szCs w:val="24"/>
        </w:rPr>
        <w:lastRenderedPageBreak/>
        <w:t xml:space="preserve">  </w:t>
      </w:r>
    </w:p>
    <w:p w14:paraId="32876F99" w14:textId="77777777" w:rsidR="003A044E" w:rsidRPr="00BA3E3B" w:rsidRDefault="003A044E" w:rsidP="003A044E">
      <w:pPr>
        <w:pStyle w:val="ListParagraph"/>
        <w:numPr>
          <w:ilvl w:val="0"/>
          <w:numId w:val="2"/>
        </w:numPr>
        <w:rPr>
          <w:rFonts w:cstheme="minorHAnsi"/>
          <w:b/>
          <w:sz w:val="24"/>
          <w:szCs w:val="24"/>
        </w:rPr>
      </w:pPr>
      <w:r w:rsidRPr="00BA3E3B">
        <w:rPr>
          <w:rFonts w:cstheme="minorHAnsi"/>
          <w:b/>
          <w:sz w:val="24"/>
          <w:szCs w:val="24"/>
        </w:rPr>
        <w:t>Scope</w:t>
      </w:r>
    </w:p>
    <w:p w14:paraId="41FAC6E1" w14:textId="29D28E0A" w:rsidR="003A044E" w:rsidRDefault="003A044E" w:rsidP="00DA4B0E">
      <w:pPr>
        <w:ind w:left="360"/>
        <w:jc w:val="both"/>
        <w:rPr>
          <w:rFonts w:cstheme="minorHAnsi"/>
          <w:sz w:val="24"/>
          <w:szCs w:val="24"/>
        </w:rPr>
      </w:pPr>
      <w:r w:rsidRPr="00BB6B44">
        <w:rPr>
          <w:rFonts w:cstheme="minorHAnsi"/>
          <w:sz w:val="24"/>
          <w:szCs w:val="24"/>
        </w:rPr>
        <w:t xml:space="preserve">This policy applies </w:t>
      </w:r>
      <w:r w:rsidR="000A2B4B">
        <w:rPr>
          <w:rFonts w:cstheme="minorHAnsi"/>
          <w:sz w:val="24"/>
          <w:szCs w:val="24"/>
        </w:rPr>
        <w:t>the</w:t>
      </w:r>
      <w:r w:rsidRPr="00BB6B44">
        <w:rPr>
          <w:rFonts w:cstheme="minorHAnsi"/>
          <w:sz w:val="24"/>
          <w:szCs w:val="24"/>
        </w:rPr>
        <w:t xml:space="preserve"> affordable rent homes</w:t>
      </w:r>
      <w:r w:rsidR="000A2B4B">
        <w:rPr>
          <w:rFonts w:cstheme="minorHAnsi"/>
          <w:sz w:val="24"/>
          <w:szCs w:val="24"/>
        </w:rPr>
        <w:t xml:space="preserve"> located </w:t>
      </w:r>
      <w:r w:rsidRPr="00BB6B44">
        <w:rPr>
          <w:rFonts w:cstheme="minorHAnsi"/>
          <w:sz w:val="24"/>
          <w:szCs w:val="24"/>
        </w:rPr>
        <w:t>at</w:t>
      </w:r>
      <w:r>
        <w:rPr>
          <w:rFonts w:cstheme="minorHAnsi"/>
          <w:sz w:val="24"/>
          <w:szCs w:val="24"/>
        </w:rPr>
        <w:t xml:space="preserve"> Watchmaker Court,</w:t>
      </w:r>
      <w:r w:rsidRPr="00BB6B44">
        <w:rPr>
          <w:rFonts w:cstheme="minorHAnsi"/>
          <w:sz w:val="24"/>
          <w:szCs w:val="24"/>
        </w:rPr>
        <w:t xml:space="preserve"> </w:t>
      </w:r>
      <w:bookmarkStart w:id="0" w:name="_Hlk166507190"/>
      <w:r>
        <w:rPr>
          <w:rFonts w:cstheme="minorHAnsi"/>
          <w:sz w:val="24"/>
          <w:szCs w:val="24"/>
        </w:rPr>
        <w:t xml:space="preserve">The Watchfactory Phase Two, Prescot in Knowsley. </w:t>
      </w:r>
      <w:r w:rsidRPr="00BB6B44">
        <w:rPr>
          <w:rFonts w:cstheme="minorHAnsi"/>
          <w:sz w:val="24"/>
          <w:szCs w:val="24"/>
        </w:rPr>
        <w:t xml:space="preserve">The development </w:t>
      </w:r>
      <w:r w:rsidR="000A2B4B" w:rsidRPr="00BB6B44">
        <w:rPr>
          <w:rFonts w:cstheme="minorHAnsi"/>
          <w:sz w:val="24"/>
          <w:szCs w:val="24"/>
        </w:rPr>
        <w:t>consists of</w:t>
      </w:r>
      <w:r w:rsidRPr="00BB6B44">
        <w:rPr>
          <w:rFonts w:cstheme="minorHAnsi"/>
          <w:sz w:val="24"/>
          <w:szCs w:val="24"/>
        </w:rPr>
        <w:t xml:space="preserve"> </w:t>
      </w:r>
      <w:r>
        <w:rPr>
          <w:rFonts w:cstheme="minorHAnsi"/>
          <w:sz w:val="24"/>
          <w:szCs w:val="24"/>
        </w:rPr>
        <w:t xml:space="preserve">31 </w:t>
      </w:r>
      <w:r w:rsidR="000A2B4B">
        <w:rPr>
          <w:rFonts w:cstheme="minorHAnsi"/>
          <w:sz w:val="24"/>
          <w:szCs w:val="24"/>
        </w:rPr>
        <w:t xml:space="preserve">one and two bed </w:t>
      </w:r>
      <w:r w:rsidRPr="00BB6B44">
        <w:rPr>
          <w:rFonts w:cstheme="minorHAnsi"/>
          <w:sz w:val="24"/>
          <w:szCs w:val="24"/>
        </w:rPr>
        <w:t>affordable rent</w:t>
      </w:r>
      <w:r>
        <w:rPr>
          <w:rFonts w:cstheme="minorHAnsi"/>
          <w:sz w:val="24"/>
          <w:szCs w:val="24"/>
        </w:rPr>
        <w:t xml:space="preserve"> apartments</w:t>
      </w:r>
      <w:bookmarkEnd w:id="0"/>
      <w:r w:rsidR="00B971BB">
        <w:rPr>
          <w:rFonts w:cstheme="minorHAnsi"/>
          <w:sz w:val="24"/>
          <w:szCs w:val="24"/>
        </w:rPr>
        <w:t xml:space="preserve">. The properties at </w:t>
      </w:r>
      <w:r>
        <w:rPr>
          <w:rFonts w:cstheme="minorHAnsi"/>
          <w:sz w:val="24"/>
          <w:szCs w:val="24"/>
        </w:rPr>
        <w:t>Watchmaker Court are expected to commence hand over in June 2024.</w:t>
      </w:r>
    </w:p>
    <w:p w14:paraId="4CAC7F80" w14:textId="5734113B" w:rsidR="003A044E" w:rsidRDefault="003A044E" w:rsidP="003A044E">
      <w:pPr>
        <w:ind w:left="360"/>
        <w:rPr>
          <w:rFonts w:cstheme="minorHAnsi"/>
          <w:sz w:val="24"/>
          <w:szCs w:val="24"/>
        </w:rPr>
      </w:pPr>
      <w:r>
        <w:rPr>
          <w:rFonts w:cstheme="minorHAnsi"/>
          <w:sz w:val="24"/>
          <w:szCs w:val="24"/>
        </w:rPr>
        <w:t xml:space="preserve">The mix of </w:t>
      </w:r>
      <w:r w:rsidRPr="00B73583">
        <w:rPr>
          <w:rFonts w:cstheme="minorHAnsi"/>
          <w:b/>
          <w:bCs/>
          <w:sz w:val="24"/>
          <w:szCs w:val="24"/>
        </w:rPr>
        <w:t xml:space="preserve">31 </w:t>
      </w:r>
      <w:r>
        <w:rPr>
          <w:rFonts w:cstheme="minorHAnsi"/>
          <w:sz w:val="24"/>
          <w:szCs w:val="24"/>
        </w:rPr>
        <w:t>affordable rent units included in this local lettings policy is as follows</w:t>
      </w:r>
      <w:r w:rsidR="0051470E">
        <w:rPr>
          <w:rFonts w:cstheme="minorHAnsi"/>
          <w:sz w:val="24"/>
          <w:szCs w:val="24"/>
        </w:rPr>
        <w:t>:</w:t>
      </w:r>
    </w:p>
    <w:tbl>
      <w:tblPr>
        <w:tblStyle w:val="TableGrid"/>
        <w:tblW w:w="0" w:type="auto"/>
        <w:tblInd w:w="360" w:type="dxa"/>
        <w:tblLook w:val="04A0" w:firstRow="1" w:lastRow="0" w:firstColumn="1" w:lastColumn="0" w:noHBand="0" w:noVBand="1"/>
      </w:tblPr>
      <w:tblGrid>
        <w:gridCol w:w="4335"/>
        <w:gridCol w:w="4321"/>
      </w:tblGrid>
      <w:tr w:rsidR="003A044E" w14:paraId="2CE7094A" w14:textId="77777777" w:rsidTr="00AD24D9">
        <w:tc>
          <w:tcPr>
            <w:tcW w:w="4335" w:type="dxa"/>
          </w:tcPr>
          <w:p w14:paraId="10A44292" w14:textId="77777777" w:rsidR="003A044E" w:rsidRDefault="003A044E" w:rsidP="00AD24D9">
            <w:pPr>
              <w:rPr>
                <w:rFonts w:cstheme="minorHAnsi"/>
                <w:sz w:val="24"/>
                <w:szCs w:val="24"/>
              </w:rPr>
            </w:pPr>
            <w:r>
              <w:rPr>
                <w:rFonts w:cstheme="minorHAnsi"/>
                <w:sz w:val="24"/>
                <w:szCs w:val="24"/>
              </w:rPr>
              <w:t xml:space="preserve">Property type and size </w:t>
            </w:r>
          </w:p>
        </w:tc>
        <w:tc>
          <w:tcPr>
            <w:tcW w:w="4321" w:type="dxa"/>
          </w:tcPr>
          <w:p w14:paraId="089A9231" w14:textId="5D432D8D" w:rsidR="003A044E" w:rsidRDefault="003A044E" w:rsidP="00AD24D9">
            <w:pPr>
              <w:rPr>
                <w:rFonts w:cstheme="minorHAnsi"/>
                <w:sz w:val="24"/>
                <w:szCs w:val="24"/>
              </w:rPr>
            </w:pPr>
            <w:r>
              <w:rPr>
                <w:rFonts w:cstheme="minorHAnsi"/>
                <w:sz w:val="24"/>
                <w:szCs w:val="24"/>
              </w:rPr>
              <w:t xml:space="preserve">Number of units </w:t>
            </w:r>
          </w:p>
        </w:tc>
      </w:tr>
      <w:tr w:rsidR="003A044E" w14:paraId="0D22FD8C" w14:textId="77777777" w:rsidTr="00AD24D9">
        <w:tc>
          <w:tcPr>
            <w:tcW w:w="4335" w:type="dxa"/>
          </w:tcPr>
          <w:p w14:paraId="365C2B28" w14:textId="77777777" w:rsidR="003A044E" w:rsidRDefault="003A044E" w:rsidP="00AD24D9">
            <w:pPr>
              <w:rPr>
                <w:rFonts w:cstheme="minorHAnsi"/>
                <w:sz w:val="24"/>
                <w:szCs w:val="24"/>
              </w:rPr>
            </w:pPr>
            <w:r>
              <w:rPr>
                <w:rFonts w:cstheme="minorHAnsi"/>
                <w:sz w:val="24"/>
                <w:szCs w:val="24"/>
              </w:rPr>
              <w:t>Apartment – 1 bed (2 person)</w:t>
            </w:r>
          </w:p>
        </w:tc>
        <w:tc>
          <w:tcPr>
            <w:tcW w:w="4321" w:type="dxa"/>
          </w:tcPr>
          <w:p w14:paraId="08F07E1E" w14:textId="77777777" w:rsidR="003A044E" w:rsidRDefault="003A044E" w:rsidP="00AD24D9">
            <w:pPr>
              <w:rPr>
                <w:rFonts w:cstheme="minorHAnsi"/>
                <w:sz w:val="24"/>
                <w:szCs w:val="24"/>
              </w:rPr>
            </w:pPr>
            <w:r>
              <w:rPr>
                <w:rFonts w:cstheme="minorHAnsi"/>
                <w:sz w:val="24"/>
                <w:szCs w:val="24"/>
              </w:rPr>
              <w:t>22</w:t>
            </w:r>
          </w:p>
        </w:tc>
      </w:tr>
      <w:tr w:rsidR="003A044E" w14:paraId="0498B378" w14:textId="77777777" w:rsidTr="00AD24D9">
        <w:tc>
          <w:tcPr>
            <w:tcW w:w="4335" w:type="dxa"/>
          </w:tcPr>
          <w:p w14:paraId="1265A3A0" w14:textId="77777777" w:rsidR="003A044E" w:rsidRDefault="003A044E" w:rsidP="00AD24D9">
            <w:pPr>
              <w:rPr>
                <w:rFonts w:cstheme="minorHAnsi"/>
                <w:sz w:val="24"/>
                <w:szCs w:val="24"/>
              </w:rPr>
            </w:pPr>
            <w:r>
              <w:rPr>
                <w:rFonts w:cstheme="minorHAnsi"/>
                <w:sz w:val="24"/>
                <w:szCs w:val="24"/>
              </w:rPr>
              <w:t>Apartment – 2 bed (3 person)</w:t>
            </w:r>
          </w:p>
        </w:tc>
        <w:tc>
          <w:tcPr>
            <w:tcW w:w="4321" w:type="dxa"/>
          </w:tcPr>
          <w:p w14:paraId="6042FAB4" w14:textId="77777777" w:rsidR="003A044E" w:rsidRDefault="003A044E" w:rsidP="00AD24D9">
            <w:pPr>
              <w:rPr>
                <w:rFonts w:cstheme="minorHAnsi"/>
                <w:sz w:val="24"/>
                <w:szCs w:val="24"/>
              </w:rPr>
            </w:pPr>
            <w:r>
              <w:rPr>
                <w:rFonts w:cstheme="minorHAnsi"/>
                <w:sz w:val="24"/>
                <w:szCs w:val="24"/>
              </w:rPr>
              <w:t>9</w:t>
            </w:r>
          </w:p>
        </w:tc>
      </w:tr>
    </w:tbl>
    <w:p w14:paraId="7129C188" w14:textId="77777777" w:rsidR="003A044E" w:rsidRDefault="003A044E" w:rsidP="003A044E">
      <w:pPr>
        <w:pStyle w:val="ListParagraph"/>
        <w:rPr>
          <w:rFonts w:cstheme="minorHAnsi"/>
          <w:b/>
          <w:sz w:val="24"/>
          <w:szCs w:val="24"/>
        </w:rPr>
      </w:pPr>
    </w:p>
    <w:p w14:paraId="69F26E6C" w14:textId="77777777" w:rsidR="003A044E" w:rsidRPr="00E43D43" w:rsidRDefault="003A044E" w:rsidP="003A044E">
      <w:pPr>
        <w:pStyle w:val="ListParagraph"/>
        <w:numPr>
          <w:ilvl w:val="0"/>
          <w:numId w:val="2"/>
        </w:numPr>
        <w:rPr>
          <w:rFonts w:cstheme="minorHAnsi"/>
          <w:b/>
          <w:sz w:val="24"/>
          <w:szCs w:val="24"/>
        </w:rPr>
      </w:pPr>
      <w:r w:rsidRPr="00E43D43">
        <w:rPr>
          <w:rFonts w:cstheme="minorHAnsi"/>
          <w:b/>
          <w:sz w:val="24"/>
          <w:szCs w:val="24"/>
        </w:rPr>
        <w:t xml:space="preserve">Background and Context </w:t>
      </w:r>
    </w:p>
    <w:p w14:paraId="1483145B" w14:textId="77777777" w:rsidR="003A044E" w:rsidRPr="00817118" w:rsidRDefault="003A044E" w:rsidP="00D14980">
      <w:pPr>
        <w:ind w:left="360"/>
        <w:jc w:val="both"/>
        <w:rPr>
          <w:sz w:val="24"/>
          <w:szCs w:val="24"/>
        </w:rPr>
      </w:pPr>
      <w:r>
        <w:rPr>
          <w:sz w:val="24"/>
          <w:szCs w:val="24"/>
        </w:rPr>
        <w:t xml:space="preserve">Livv </w:t>
      </w:r>
      <w:r w:rsidRPr="00E43D43">
        <w:rPr>
          <w:sz w:val="24"/>
          <w:szCs w:val="24"/>
        </w:rPr>
        <w:t xml:space="preserve">Housing Group own and manage approximately </w:t>
      </w:r>
      <w:r>
        <w:rPr>
          <w:sz w:val="24"/>
          <w:szCs w:val="24"/>
        </w:rPr>
        <w:t>13,000 general needs and older persons homes</w:t>
      </w:r>
      <w:r w:rsidRPr="00E43D43">
        <w:rPr>
          <w:sz w:val="24"/>
          <w:szCs w:val="24"/>
        </w:rPr>
        <w:t xml:space="preserve"> in </w:t>
      </w:r>
      <w:r>
        <w:rPr>
          <w:sz w:val="24"/>
          <w:szCs w:val="24"/>
        </w:rPr>
        <w:t>Knowsley for affordable and social rent.</w:t>
      </w:r>
    </w:p>
    <w:p w14:paraId="03B0A8DA" w14:textId="77777777" w:rsidR="003A044E" w:rsidRPr="00CE6744" w:rsidRDefault="003A044E" w:rsidP="00D14980">
      <w:pPr>
        <w:ind w:left="360"/>
        <w:jc w:val="both"/>
        <w:rPr>
          <w:sz w:val="24"/>
          <w:szCs w:val="24"/>
        </w:rPr>
      </w:pPr>
      <w:r>
        <w:rPr>
          <w:sz w:val="24"/>
          <w:szCs w:val="24"/>
        </w:rPr>
        <w:t>There is an identified need for affordable housing within the Prescot area.</w:t>
      </w:r>
    </w:p>
    <w:p w14:paraId="2B4A52BE" w14:textId="77777777" w:rsidR="003A044E" w:rsidRPr="00817118" w:rsidRDefault="003A044E" w:rsidP="003A044E">
      <w:pPr>
        <w:pStyle w:val="ListParagraph"/>
        <w:numPr>
          <w:ilvl w:val="0"/>
          <w:numId w:val="2"/>
        </w:numPr>
        <w:rPr>
          <w:rFonts w:cstheme="minorHAnsi"/>
          <w:b/>
          <w:sz w:val="24"/>
          <w:szCs w:val="24"/>
        </w:rPr>
      </w:pPr>
      <w:r w:rsidRPr="00817118">
        <w:rPr>
          <w:rFonts w:cstheme="minorHAnsi"/>
          <w:b/>
          <w:sz w:val="24"/>
          <w:szCs w:val="24"/>
        </w:rPr>
        <w:t xml:space="preserve">Demand </w:t>
      </w:r>
    </w:p>
    <w:p w14:paraId="3C9A33B8" w14:textId="77777777" w:rsidR="00B350F9" w:rsidRDefault="003A044E" w:rsidP="00B350F9">
      <w:pPr>
        <w:ind w:left="360"/>
        <w:jc w:val="both"/>
        <w:rPr>
          <w:sz w:val="24"/>
          <w:szCs w:val="24"/>
        </w:rPr>
      </w:pPr>
      <w:r>
        <w:rPr>
          <w:sz w:val="24"/>
          <w:szCs w:val="24"/>
        </w:rPr>
        <w:t xml:space="preserve">Livv </w:t>
      </w:r>
      <w:r w:rsidRPr="00053148">
        <w:rPr>
          <w:sz w:val="24"/>
          <w:szCs w:val="24"/>
        </w:rPr>
        <w:t>Housing Group is committed to allocating our affordable housing to meet local housing need. The aims of this policy are to ensure that the new homes we develop support the national housing crisis, support local housing need and also contribute to the overall viability and sustainability of the area</w:t>
      </w:r>
      <w:r>
        <w:rPr>
          <w:sz w:val="24"/>
          <w:szCs w:val="24"/>
        </w:rPr>
        <w:t xml:space="preserve">. </w:t>
      </w:r>
      <w:r w:rsidRPr="00053148">
        <w:rPr>
          <w:sz w:val="24"/>
          <w:szCs w:val="24"/>
        </w:rPr>
        <w:t xml:space="preserve">It is crucial that we ensure tenancies are sustained and that these have a positive impact on the local area. </w:t>
      </w:r>
      <w:bookmarkStart w:id="1" w:name="_Hlk166503411"/>
    </w:p>
    <w:p w14:paraId="4024768F" w14:textId="13554527" w:rsidR="003A044E" w:rsidRPr="00B350F9" w:rsidRDefault="003A044E" w:rsidP="00B350F9">
      <w:pPr>
        <w:ind w:left="360"/>
        <w:jc w:val="both"/>
        <w:rPr>
          <w:sz w:val="24"/>
          <w:szCs w:val="24"/>
        </w:rPr>
      </w:pPr>
      <w:r w:rsidRPr="00B350F9">
        <w:rPr>
          <w:rFonts w:cstheme="minorHAnsi"/>
          <w:bCs/>
          <w:sz w:val="24"/>
          <w:szCs w:val="24"/>
        </w:rPr>
        <w:t xml:space="preserve">As at May 2024, </w:t>
      </w:r>
      <w:r w:rsidRPr="00B350F9">
        <w:rPr>
          <w:sz w:val="24"/>
          <w:szCs w:val="24"/>
        </w:rPr>
        <w:t>there are currently circa 628 active applica</w:t>
      </w:r>
      <w:r w:rsidR="000E1FFE" w:rsidRPr="00B350F9">
        <w:rPr>
          <w:sz w:val="24"/>
          <w:szCs w:val="24"/>
        </w:rPr>
        <w:t>nts</w:t>
      </w:r>
      <w:r w:rsidRPr="00B350F9">
        <w:rPr>
          <w:sz w:val="24"/>
          <w:szCs w:val="24"/>
        </w:rPr>
        <w:t xml:space="preserve"> aged 50 and over who are eligible for a home (within Bands A</w:t>
      </w:r>
      <w:r w:rsidR="00703144" w:rsidRPr="00B350F9">
        <w:rPr>
          <w:sz w:val="24"/>
          <w:szCs w:val="24"/>
        </w:rPr>
        <w:t xml:space="preserve"> </w:t>
      </w:r>
      <w:r w:rsidRPr="00B350F9">
        <w:rPr>
          <w:sz w:val="24"/>
          <w:szCs w:val="24"/>
        </w:rPr>
        <w:t>-</w:t>
      </w:r>
      <w:r w:rsidR="007956DB">
        <w:rPr>
          <w:sz w:val="24"/>
          <w:szCs w:val="24"/>
        </w:rPr>
        <w:t xml:space="preserve"> </w:t>
      </w:r>
      <w:r w:rsidRPr="00B350F9">
        <w:rPr>
          <w:sz w:val="24"/>
          <w:szCs w:val="24"/>
        </w:rPr>
        <w:t>C priority need bands) on Property Pool Plus within the Knowsley sub region. The breakdown of these applica</w:t>
      </w:r>
      <w:r w:rsidR="00E407DA">
        <w:rPr>
          <w:sz w:val="24"/>
          <w:szCs w:val="24"/>
        </w:rPr>
        <w:t>nts</w:t>
      </w:r>
      <w:r w:rsidRPr="00B350F9">
        <w:rPr>
          <w:sz w:val="24"/>
          <w:szCs w:val="24"/>
        </w:rPr>
        <w:t xml:space="preserve"> by banding is as follows:</w:t>
      </w:r>
    </w:p>
    <w:p w14:paraId="6F0DA392" w14:textId="77777777" w:rsidR="00B350F9" w:rsidRDefault="00B350F9" w:rsidP="0085416B">
      <w:pPr>
        <w:pStyle w:val="ListParagraph"/>
        <w:ind w:left="426"/>
        <w:jc w:val="both"/>
        <w:rPr>
          <w:sz w:val="24"/>
          <w:szCs w:val="24"/>
        </w:rPr>
      </w:pPr>
    </w:p>
    <w:tbl>
      <w:tblPr>
        <w:tblStyle w:val="TableGrid"/>
        <w:tblW w:w="0" w:type="auto"/>
        <w:tblInd w:w="426" w:type="dxa"/>
        <w:tblLook w:val="04A0" w:firstRow="1" w:lastRow="0" w:firstColumn="1" w:lastColumn="0" w:noHBand="0" w:noVBand="1"/>
      </w:tblPr>
      <w:tblGrid>
        <w:gridCol w:w="2121"/>
        <w:gridCol w:w="3402"/>
      </w:tblGrid>
      <w:tr w:rsidR="00B350F9" w14:paraId="00C05F28" w14:textId="77777777" w:rsidTr="00B350F9">
        <w:tc>
          <w:tcPr>
            <w:tcW w:w="2121" w:type="dxa"/>
          </w:tcPr>
          <w:p w14:paraId="36773B10" w14:textId="39CB847E" w:rsidR="00B350F9" w:rsidRDefault="00B350F9" w:rsidP="0085416B">
            <w:pPr>
              <w:pStyle w:val="ListParagraph"/>
              <w:ind w:left="0"/>
              <w:jc w:val="both"/>
              <w:rPr>
                <w:sz w:val="24"/>
                <w:szCs w:val="24"/>
              </w:rPr>
            </w:pPr>
            <w:r>
              <w:rPr>
                <w:sz w:val="24"/>
                <w:szCs w:val="24"/>
              </w:rPr>
              <w:t xml:space="preserve">Knowsley Housing Band </w:t>
            </w:r>
          </w:p>
        </w:tc>
        <w:tc>
          <w:tcPr>
            <w:tcW w:w="3402" w:type="dxa"/>
          </w:tcPr>
          <w:p w14:paraId="1721A4EA" w14:textId="377B9E25" w:rsidR="00B350F9" w:rsidRDefault="00B350F9" w:rsidP="0085416B">
            <w:pPr>
              <w:pStyle w:val="ListParagraph"/>
              <w:ind w:left="0"/>
              <w:jc w:val="both"/>
              <w:rPr>
                <w:sz w:val="24"/>
                <w:szCs w:val="24"/>
              </w:rPr>
            </w:pPr>
            <w:r>
              <w:rPr>
                <w:sz w:val="24"/>
                <w:szCs w:val="24"/>
              </w:rPr>
              <w:t>Number of applicants aged 50+</w:t>
            </w:r>
          </w:p>
        </w:tc>
      </w:tr>
      <w:tr w:rsidR="00B350F9" w14:paraId="02CBC39C" w14:textId="77777777" w:rsidTr="00B350F9">
        <w:tc>
          <w:tcPr>
            <w:tcW w:w="2121" w:type="dxa"/>
          </w:tcPr>
          <w:p w14:paraId="6F0F3335" w14:textId="33D71439" w:rsidR="00B350F9" w:rsidRDefault="00B350F9" w:rsidP="0085416B">
            <w:pPr>
              <w:pStyle w:val="ListParagraph"/>
              <w:ind w:left="0"/>
              <w:jc w:val="both"/>
              <w:rPr>
                <w:sz w:val="24"/>
                <w:szCs w:val="24"/>
              </w:rPr>
            </w:pPr>
            <w:r>
              <w:rPr>
                <w:sz w:val="24"/>
                <w:szCs w:val="24"/>
              </w:rPr>
              <w:t xml:space="preserve">Band A </w:t>
            </w:r>
          </w:p>
        </w:tc>
        <w:tc>
          <w:tcPr>
            <w:tcW w:w="3402" w:type="dxa"/>
          </w:tcPr>
          <w:p w14:paraId="352C6281" w14:textId="10A91ADE" w:rsidR="00B350F9" w:rsidRDefault="00B350F9" w:rsidP="0085416B">
            <w:pPr>
              <w:pStyle w:val="ListParagraph"/>
              <w:ind w:left="0"/>
              <w:jc w:val="both"/>
              <w:rPr>
                <w:sz w:val="24"/>
                <w:szCs w:val="24"/>
              </w:rPr>
            </w:pPr>
            <w:r>
              <w:rPr>
                <w:sz w:val="24"/>
                <w:szCs w:val="24"/>
              </w:rPr>
              <w:t>78</w:t>
            </w:r>
          </w:p>
        </w:tc>
      </w:tr>
      <w:tr w:rsidR="00B350F9" w14:paraId="150B9055" w14:textId="77777777" w:rsidTr="00B350F9">
        <w:tc>
          <w:tcPr>
            <w:tcW w:w="2121" w:type="dxa"/>
          </w:tcPr>
          <w:p w14:paraId="5E1BFBDB" w14:textId="45C48084" w:rsidR="00B350F9" w:rsidRDefault="00B350F9" w:rsidP="0085416B">
            <w:pPr>
              <w:pStyle w:val="ListParagraph"/>
              <w:ind w:left="0"/>
              <w:jc w:val="both"/>
              <w:rPr>
                <w:sz w:val="24"/>
                <w:szCs w:val="24"/>
              </w:rPr>
            </w:pPr>
            <w:r>
              <w:rPr>
                <w:sz w:val="24"/>
                <w:szCs w:val="24"/>
              </w:rPr>
              <w:t xml:space="preserve">Band B </w:t>
            </w:r>
          </w:p>
        </w:tc>
        <w:tc>
          <w:tcPr>
            <w:tcW w:w="3402" w:type="dxa"/>
          </w:tcPr>
          <w:p w14:paraId="7299E5A3" w14:textId="2C505AB3" w:rsidR="00B350F9" w:rsidRDefault="00B350F9" w:rsidP="0085416B">
            <w:pPr>
              <w:pStyle w:val="ListParagraph"/>
              <w:ind w:left="0"/>
              <w:jc w:val="both"/>
              <w:rPr>
                <w:sz w:val="24"/>
                <w:szCs w:val="24"/>
              </w:rPr>
            </w:pPr>
            <w:r>
              <w:rPr>
                <w:sz w:val="24"/>
                <w:szCs w:val="24"/>
              </w:rPr>
              <w:t>346</w:t>
            </w:r>
          </w:p>
        </w:tc>
      </w:tr>
      <w:tr w:rsidR="00B350F9" w14:paraId="6B976F9C" w14:textId="77777777" w:rsidTr="00B350F9">
        <w:tc>
          <w:tcPr>
            <w:tcW w:w="2121" w:type="dxa"/>
          </w:tcPr>
          <w:p w14:paraId="77ACD8EE" w14:textId="62960D07" w:rsidR="00B350F9" w:rsidRDefault="00B350F9" w:rsidP="0085416B">
            <w:pPr>
              <w:pStyle w:val="ListParagraph"/>
              <w:ind w:left="0"/>
              <w:jc w:val="both"/>
              <w:rPr>
                <w:sz w:val="24"/>
                <w:szCs w:val="24"/>
              </w:rPr>
            </w:pPr>
            <w:r>
              <w:rPr>
                <w:sz w:val="24"/>
                <w:szCs w:val="24"/>
              </w:rPr>
              <w:t xml:space="preserve">Band C </w:t>
            </w:r>
          </w:p>
        </w:tc>
        <w:tc>
          <w:tcPr>
            <w:tcW w:w="3402" w:type="dxa"/>
          </w:tcPr>
          <w:p w14:paraId="3D0B0A50" w14:textId="6193BF8E" w:rsidR="00B350F9" w:rsidRDefault="00B350F9" w:rsidP="0085416B">
            <w:pPr>
              <w:pStyle w:val="ListParagraph"/>
              <w:ind w:left="0"/>
              <w:jc w:val="both"/>
              <w:rPr>
                <w:sz w:val="24"/>
                <w:szCs w:val="24"/>
              </w:rPr>
            </w:pPr>
            <w:r>
              <w:rPr>
                <w:sz w:val="24"/>
                <w:szCs w:val="24"/>
              </w:rPr>
              <w:t>204</w:t>
            </w:r>
          </w:p>
        </w:tc>
      </w:tr>
      <w:tr w:rsidR="00B350F9" w14:paraId="280AF6B6" w14:textId="77777777" w:rsidTr="00B350F9">
        <w:tc>
          <w:tcPr>
            <w:tcW w:w="2121" w:type="dxa"/>
          </w:tcPr>
          <w:p w14:paraId="2BA197A1" w14:textId="3BD8B8CB" w:rsidR="00B350F9" w:rsidRPr="00B350F9" w:rsidRDefault="00B350F9" w:rsidP="0085416B">
            <w:pPr>
              <w:pStyle w:val="ListParagraph"/>
              <w:ind w:left="0"/>
              <w:jc w:val="both"/>
              <w:rPr>
                <w:b/>
                <w:bCs/>
                <w:sz w:val="24"/>
                <w:szCs w:val="24"/>
              </w:rPr>
            </w:pPr>
            <w:r w:rsidRPr="00B350F9">
              <w:rPr>
                <w:b/>
                <w:bCs/>
                <w:sz w:val="24"/>
                <w:szCs w:val="24"/>
              </w:rPr>
              <w:t>Total</w:t>
            </w:r>
          </w:p>
        </w:tc>
        <w:tc>
          <w:tcPr>
            <w:tcW w:w="3402" w:type="dxa"/>
          </w:tcPr>
          <w:p w14:paraId="7142BAF3" w14:textId="1BB1145F" w:rsidR="00B350F9" w:rsidRPr="00B350F9" w:rsidRDefault="00B350F9" w:rsidP="0085416B">
            <w:pPr>
              <w:pStyle w:val="ListParagraph"/>
              <w:ind w:left="0"/>
              <w:jc w:val="both"/>
              <w:rPr>
                <w:b/>
                <w:bCs/>
                <w:sz w:val="24"/>
                <w:szCs w:val="24"/>
              </w:rPr>
            </w:pPr>
            <w:r w:rsidRPr="00B350F9">
              <w:rPr>
                <w:b/>
                <w:bCs/>
                <w:sz w:val="24"/>
                <w:szCs w:val="24"/>
              </w:rPr>
              <w:t>628</w:t>
            </w:r>
          </w:p>
        </w:tc>
      </w:tr>
    </w:tbl>
    <w:p w14:paraId="68F08A79" w14:textId="77777777" w:rsidR="000B274D" w:rsidRPr="00D14980" w:rsidRDefault="000B274D" w:rsidP="00D14980">
      <w:pPr>
        <w:rPr>
          <w:rFonts w:cstheme="minorHAnsi"/>
          <w:b/>
          <w:sz w:val="24"/>
          <w:szCs w:val="24"/>
        </w:rPr>
      </w:pPr>
    </w:p>
    <w:bookmarkEnd w:id="1"/>
    <w:p w14:paraId="18F55B78" w14:textId="77777777" w:rsidR="003A044E" w:rsidRPr="00817118" w:rsidRDefault="003A044E" w:rsidP="003A044E">
      <w:pPr>
        <w:pStyle w:val="ListParagraph"/>
        <w:numPr>
          <w:ilvl w:val="0"/>
          <w:numId w:val="2"/>
        </w:numPr>
        <w:rPr>
          <w:rFonts w:cstheme="minorHAnsi"/>
          <w:b/>
          <w:sz w:val="24"/>
          <w:szCs w:val="24"/>
        </w:rPr>
      </w:pPr>
      <w:r w:rsidRPr="00817118">
        <w:rPr>
          <w:rFonts w:cstheme="minorHAnsi"/>
          <w:b/>
          <w:sz w:val="24"/>
          <w:szCs w:val="24"/>
        </w:rPr>
        <w:t>Allocation criteria and selection</w:t>
      </w:r>
    </w:p>
    <w:p w14:paraId="17C2D440" w14:textId="63AEAD74" w:rsidR="003A044E" w:rsidRDefault="003A044E" w:rsidP="005066FB">
      <w:pPr>
        <w:ind w:left="360" w:right="-16"/>
        <w:jc w:val="both"/>
        <w:rPr>
          <w:rFonts w:cstheme="minorHAnsi"/>
          <w:sz w:val="24"/>
          <w:szCs w:val="24"/>
        </w:rPr>
      </w:pPr>
      <w:r>
        <w:rPr>
          <w:rFonts w:cstheme="minorHAnsi"/>
          <w:sz w:val="24"/>
          <w:szCs w:val="24"/>
        </w:rPr>
        <w:t xml:space="preserve">100% of new allocations will be advertised through Property Pool Plus, in accordance with the criteria detailed within this policy. The principles in this policy do not diverge from the overall aims of the allocations scheme. Property adverts for homes at Watchmaker Court </w:t>
      </w:r>
      <w:r>
        <w:rPr>
          <w:rFonts w:cstheme="minorHAnsi"/>
          <w:sz w:val="24"/>
          <w:szCs w:val="24"/>
        </w:rPr>
        <w:lastRenderedPageBreak/>
        <w:t>will clearly state on the advert that allocations are subject to this policy which will help applicants when making a choice</w:t>
      </w:r>
      <w:r w:rsidR="005066FB">
        <w:rPr>
          <w:rFonts w:cstheme="minorHAnsi"/>
          <w:sz w:val="24"/>
          <w:szCs w:val="24"/>
        </w:rPr>
        <w:t xml:space="preserve"> </w:t>
      </w:r>
      <w:r>
        <w:rPr>
          <w:rFonts w:cstheme="minorHAnsi"/>
          <w:sz w:val="24"/>
          <w:szCs w:val="24"/>
        </w:rPr>
        <w:t xml:space="preserve">about whether to bid on the property. </w:t>
      </w:r>
    </w:p>
    <w:p w14:paraId="285563EF" w14:textId="03195007" w:rsidR="003A044E" w:rsidRDefault="0085416B" w:rsidP="0085416B">
      <w:pPr>
        <w:ind w:left="360"/>
        <w:jc w:val="both"/>
        <w:rPr>
          <w:sz w:val="24"/>
          <w:szCs w:val="24"/>
        </w:rPr>
      </w:pPr>
      <w:r w:rsidRPr="004C3078">
        <w:rPr>
          <w:sz w:val="24"/>
          <w:szCs w:val="24"/>
        </w:rPr>
        <w:t>To</w:t>
      </w:r>
      <w:r w:rsidR="003A044E" w:rsidRPr="004C3078">
        <w:rPr>
          <w:sz w:val="24"/>
          <w:szCs w:val="24"/>
        </w:rPr>
        <w:t xml:space="preserve"> meet housing need and to ensure that we are achieving a sustainable mix of customers living at </w:t>
      </w:r>
      <w:r w:rsidR="003A044E">
        <w:rPr>
          <w:sz w:val="24"/>
          <w:szCs w:val="24"/>
        </w:rPr>
        <w:t xml:space="preserve">Watchmaker Court, </w:t>
      </w:r>
      <w:r w:rsidR="003A044E" w:rsidRPr="004C3078">
        <w:rPr>
          <w:sz w:val="24"/>
          <w:szCs w:val="24"/>
        </w:rPr>
        <w:t xml:space="preserve">the allocations will be split with a % in each band </w:t>
      </w:r>
      <w:r w:rsidR="003A044E">
        <w:rPr>
          <w:sz w:val="24"/>
          <w:szCs w:val="24"/>
        </w:rPr>
        <w:t xml:space="preserve">that is reflective of the overall demand within that band. </w:t>
      </w:r>
      <w:r w:rsidR="003A044E" w:rsidRPr="004C3078">
        <w:rPr>
          <w:sz w:val="24"/>
          <w:szCs w:val="24"/>
        </w:rPr>
        <w:t xml:space="preserve"> </w:t>
      </w:r>
    </w:p>
    <w:p w14:paraId="6EE782A4" w14:textId="71805893" w:rsidR="003A044E" w:rsidRDefault="003A044E" w:rsidP="0085416B">
      <w:pPr>
        <w:ind w:left="360"/>
        <w:jc w:val="both"/>
        <w:rPr>
          <w:sz w:val="24"/>
          <w:szCs w:val="24"/>
        </w:rPr>
      </w:pPr>
      <w:r>
        <w:rPr>
          <w:sz w:val="24"/>
          <w:szCs w:val="24"/>
        </w:rPr>
        <w:t xml:space="preserve">We will allocate these apartments to applicants over </w:t>
      </w:r>
      <w:r w:rsidR="00F7234C">
        <w:rPr>
          <w:sz w:val="24"/>
          <w:szCs w:val="24"/>
        </w:rPr>
        <w:t xml:space="preserve">the </w:t>
      </w:r>
      <w:r>
        <w:rPr>
          <w:sz w:val="24"/>
          <w:szCs w:val="24"/>
        </w:rPr>
        <w:t>age of 50</w:t>
      </w:r>
      <w:r w:rsidR="00F7234C">
        <w:rPr>
          <w:sz w:val="24"/>
          <w:szCs w:val="24"/>
        </w:rPr>
        <w:t xml:space="preserve"> </w:t>
      </w:r>
      <w:r w:rsidR="00817C9D">
        <w:rPr>
          <w:sz w:val="24"/>
          <w:szCs w:val="24"/>
        </w:rPr>
        <w:t>due to</w:t>
      </w:r>
      <w:r w:rsidR="00F7234C">
        <w:rPr>
          <w:sz w:val="24"/>
          <w:szCs w:val="24"/>
        </w:rPr>
        <w:t xml:space="preserve"> the development being funded solely for the purpose of older persons accommodation. </w:t>
      </w:r>
      <w:r w:rsidR="00817C9D">
        <w:rPr>
          <w:sz w:val="24"/>
          <w:szCs w:val="24"/>
        </w:rPr>
        <w:t xml:space="preserve"> </w:t>
      </w:r>
      <w:r>
        <w:rPr>
          <w:sz w:val="24"/>
          <w:szCs w:val="24"/>
        </w:rPr>
        <w:t xml:space="preserve">This </w:t>
      </w:r>
      <w:r w:rsidR="00F7234C">
        <w:rPr>
          <w:sz w:val="24"/>
          <w:szCs w:val="24"/>
        </w:rPr>
        <w:t>will also</w:t>
      </w:r>
      <w:r>
        <w:rPr>
          <w:sz w:val="24"/>
          <w:szCs w:val="24"/>
        </w:rPr>
        <w:t xml:space="preserve"> </w:t>
      </w:r>
      <w:r w:rsidR="00F7234C">
        <w:rPr>
          <w:sz w:val="24"/>
          <w:szCs w:val="24"/>
        </w:rPr>
        <w:t xml:space="preserve">help </w:t>
      </w:r>
      <w:r>
        <w:rPr>
          <w:sz w:val="24"/>
          <w:szCs w:val="24"/>
        </w:rPr>
        <w:t>to create a sustainable community as all other apartments within The Watchfactory Phase Two</w:t>
      </w:r>
      <w:r w:rsidR="0083584D">
        <w:rPr>
          <w:sz w:val="24"/>
          <w:szCs w:val="24"/>
        </w:rPr>
        <w:t xml:space="preserve"> development</w:t>
      </w:r>
      <w:r>
        <w:rPr>
          <w:sz w:val="24"/>
          <w:szCs w:val="24"/>
        </w:rPr>
        <w:t xml:space="preserve"> are for Extra Care applicants</w:t>
      </w:r>
      <w:r w:rsidR="0083584D">
        <w:rPr>
          <w:sz w:val="24"/>
          <w:szCs w:val="24"/>
        </w:rPr>
        <w:t xml:space="preserve"> who have been allocated a property via the Extra Care Housing Panel</w:t>
      </w:r>
      <w:r>
        <w:rPr>
          <w:sz w:val="24"/>
          <w:szCs w:val="24"/>
        </w:rPr>
        <w:t xml:space="preserve">. </w:t>
      </w:r>
    </w:p>
    <w:p w14:paraId="4114D723" w14:textId="6598FC78" w:rsidR="00B350F9" w:rsidRDefault="003A044E" w:rsidP="00B350F9">
      <w:pPr>
        <w:ind w:left="360"/>
        <w:jc w:val="both"/>
        <w:rPr>
          <w:sz w:val="24"/>
          <w:szCs w:val="24"/>
        </w:rPr>
      </w:pPr>
      <w:r>
        <w:rPr>
          <w:sz w:val="24"/>
          <w:szCs w:val="24"/>
        </w:rPr>
        <w:t xml:space="preserve">This will also support with our approach to make the best use of our homes and with Knowsley Borough Council’s aim to ‘right size’ homes across the borough, making more, larger family homes available to meet demand. </w:t>
      </w:r>
      <w:r w:rsidR="0083584D">
        <w:rPr>
          <w:sz w:val="24"/>
          <w:szCs w:val="24"/>
        </w:rPr>
        <w:t>As of May 2024, there are current</w:t>
      </w:r>
      <w:r w:rsidR="00F55623">
        <w:rPr>
          <w:sz w:val="24"/>
          <w:szCs w:val="24"/>
        </w:rPr>
        <w:t>ly</w:t>
      </w:r>
      <w:r w:rsidR="0083584D">
        <w:rPr>
          <w:sz w:val="24"/>
          <w:szCs w:val="24"/>
        </w:rPr>
        <w:t xml:space="preserve"> circa 143 current social housing tenants who are under occupying their property by either one or two bedrooms. The breakdown of these applicants is as follows:</w:t>
      </w:r>
    </w:p>
    <w:p w14:paraId="10D2D963" w14:textId="77777777" w:rsidR="00B350F9" w:rsidRDefault="00B350F9" w:rsidP="00B350F9">
      <w:pPr>
        <w:ind w:left="360"/>
        <w:jc w:val="both"/>
        <w:rPr>
          <w:sz w:val="24"/>
          <w:szCs w:val="24"/>
        </w:rPr>
      </w:pPr>
    </w:p>
    <w:tbl>
      <w:tblPr>
        <w:tblStyle w:val="TableGrid"/>
        <w:tblW w:w="0" w:type="auto"/>
        <w:tblInd w:w="360" w:type="dxa"/>
        <w:tblLook w:val="04A0" w:firstRow="1" w:lastRow="0" w:firstColumn="1" w:lastColumn="0" w:noHBand="0" w:noVBand="1"/>
      </w:tblPr>
      <w:tblGrid>
        <w:gridCol w:w="1903"/>
        <w:gridCol w:w="2459"/>
        <w:gridCol w:w="2361"/>
        <w:gridCol w:w="725"/>
      </w:tblGrid>
      <w:tr w:rsidR="00020EA2" w14:paraId="7340ED72" w14:textId="77777777" w:rsidTr="00B350F9">
        <w:tc>
          <w:tcPr>
            <w:tcW w:w="1903" w:type="dxa"/>
          </w:tcPr>
          <w:p w14:paraId="69D557D2" w14:textId="33F4B828" w:rsidR="00020EA2" w:rsidRPr="00CF2CD1" w:rsidRDefault="00020EA2" w:rsidP="00020EA2">
            <w:pPr>
              <w:jc w:val="both"/>
              <w:rPr>
                <w:sz w:val="24"/>
                <w:szCs w:val="24"/>
              </w:rPr>
            </w:pPr>
            <w:r w:rsidRPr="00CF2CD1">
              <w:rPr>
                <w:sz w:val="24"/>
                <w:szCs w:val="24"/>
              </w:rPr>
              <w:t xml:space="preserve">Knowsley Housing Band </w:t>
            </w:r>
          </w:p>
        </w:tc>
        <w:tc>
          <w:tcPr>
            <w:tcW w:w="2459" w:type="dxa"/>
          </w:tcPr>
          <w:p w14:paraId="38970DB9" w14:textId="5548C8C4" w:rsidR="00020EA2" w:rsidRPr="00CF2CD1" w:rsidRDefault="00020EA2" w:rsidP="00020EA2">
            <w:pPr>
              <w:jc w:val="both"/>
              <w:rPr>
                <w:sz w:val="24"/>
                <w:szCs w:val="24"/>
              </w:rPr>
            </w:pPr>
            <w:r w:rsidRPr="00CF2CD1">
              <w:rPr>
                <w:sz w:val="24"/>
                <w:szCs w:val="24"/>
              </w:rPr>
              <w:t>Underoccupied by one bedroom</w:t>
            </w:r>
          </w:p>
        </w:tc>
        <w:tc>
          <w:tcPr>
            <w:tcW w:w="2361" w:type="dxa"/>
          </w:tcPr>
          <w:p w14:paraId="15F64468" w14:textId="339B45D9" w:rsidR="00020EA2" w:rsidRPr="00CF2CD1" w:rsidRDefault="00020EA2" w:rsidP="00020EA2">
            <w:pPr>
              <w:jc w:val="both"/>
              <w:rPr>
                <w:sz w:val="24"/>
                <w:szCs w:val="24"/>
              </w:rPr>
            </w:pPr>
            <w:r w:rsidRPr="00CF2CD1">
              <w:rPr>
                <w:sz w:val="24"/>
                <w:szCs w:val="24"/>
              </w:rPr>
              <w:t>Underoccupied by two bedrooms</w:t>
            </w:r>
          </w:p>
        </w:tc>
        <w:tc>
          <w:tcPr>
            <w:tcW w:w="567" w:type="dxa"/>
          </w:tcPr>
          <w:p w14:paraId="23AB0739" w14:textId="0FCBEDB4" w:rsidR="00020EA2" w:rsidRPr="00CF2CD1" w:rsidRDefault="00020EA2" w:rsidP="00020EA2">
            <w:pPr>
              <w:jc w:val="center"/>
              <w:rPr>
                <w:b/>
                <w:bCs/>
                <w:sz w:val="24"/>
                <w:szCs w:val="24"/>
              </w:rPr>
            </w:pPr>
            <w:r w:rsidRPr="00CF2CD1">
              <w:rPr>
                <w:b/>
                <w:bCs/>
                <w:sz w:val="24"/>
                <w:szCs w:val="24"/>
              </w:rPr>
              <w:t>Total</w:t>
            </w:r>
          </w:p>
        </w:tc>
      </w:tr>
      <w:tr w:rsidR="00020EA2" w14:paraId="38F5D8B7" w14:textId="77777777" w:rsidTr="00B350F9">
        <w:tc>
          <w:tcPr>
            <w:tcW w:w="1903" w:type="dxa"/>
          </w:tcPr>
          <w:p w14:paraId="1CE22328" w14:textId="7C3CAD35" w:rsidR="00020EA2" w:rsidRPr="00CF2CD1" w:rsidRDefault="00020EA2" w:rsidP="00020EA2">
            <w:pPr>
              <w:jc w:val="both"/>
              <w:rPr>
                <w:sz w:val="24"/>
                <w:szCs w:val="24"/>
              </w:rPr>
            </w:pPr>
            <w:r w:rsidRPr="00CF2CD1">
              <w:rPr>
                <w:sz w:val="24"/>
                <w:szCs w:val="24"/>
              </w:rPr>
              <w:t xml:space="preserve">Band A </w:t>
            </w:r>
          </w:p>
        </w:tc>
        <w:tc>
          <w:tcPr>
            <w:tcW w:w="2459" w:type="dxa"/>
          </w:tcPr>
          <w:p w14:paraId="2A6B6902" w14:textId="52013EBF" w:rsidR="00020EA2" w:rsidRPr="00CF2CD1" w:rsidRDefault="00020EA2" w:rsidP="00020EA2">
            <w:pPr>
              <w:jc w:val="center"/>
              <w:rPr>
                <w:sz w:val="24"/>
                <w:szCs w:val="24"/>
              </w:rPr>
            </w:pPr>
            <w:r w:rsidRPr="00CF2CD1">
              <w:rPr>
                <w:sz w:val="24"/>
                <w:szCs w:val="24"/>
              </w:rPr>
              <w:t>5</w:t>
            </w:r>
          </w:p>
        </w:tc>
        <w:tc>
          <w:tcPr>
            <w:tcW w:w="2361" w:type="dxa"/>
          </w:tcPr>
          <w:p w14:paraId="75A84365" w14:textId="1D141FB7" w:rsidR="00020EA2" w:rsidRPr="00CF2CD1" w:rsidRDefault="00020EA2" w:rsidP="00020EA2">
            <w:pPr>
              <w:jc w:val="center"/>
              <w:rPr>
                <w:sz w:val="24"/>
                <w:szCs w:val="24"/>
              </w:rPr>
            </w:pPr>
            <w:r w:rsidRPr="00CF2CD1">
              <w:rPr>
                <w:sz w:val="24"/>
                <w:szCs w:val="24"/>
              </w:rPr>
              <w:t>39</w:t>
            </w:r>
          </w:p>
        </w:tc>
        <w:tc>
          <w:tcPr>
            <w:tcW w:w="567" w:type="dxa"/>
          </w:tcPr>
          <w:p w14:paraId="532E7971" w14:textId="72507C94" w:rsidR="00020EA2" w:rsidRPr="00CF2CD1" w:rsidRDefault="00020EA2" w:rsidP="00020EA2">
            <w:pPr>
              <w:jc w:val="center"/>
              <w:rPr>
                <w:sz w:val="24"/>
                <w:szCs w:val="24"/>
              </w:rPr>
            </w:pPr>
            <w:r w:rsidRPr="00CF2CD1">
              <w:rPr>
                <w:sz w:val="24"/>
                <w:szCs w:val="24"/>
              </w:rPr>
              <w:t>44</w:t>
            </w:r>
          </w:p>
        </w:tc>
      </w:tr>
      <w:tr w:rsidR="00020EA2" w14:paraId="4449C197" w14:textId="77777777" w:rsidTr="00B350F9">
        <w:tc>
          <w:tcPr>
            <w:tcW w:w="1903" w:type="dxa"/>
          </w:tcPr>
          <w:p w14:paraId="4A87B733" w14:textId="0AF02F19" w:rsidR="00020EA2" w:rsidRPr="00CF2CD1" w:rsidRDefault="00020EA2" w:rsidP="00020EA2">
            <w:pPr>
              <w:jc w:val="both"/>
              <w:rPr>
                <w:sz w:val="24"/>
                <w:szCs w:val="24"/>
              </w:rPr>
            </w:pPr>
            <w:r w:rsidRPr="00CF2CD1">
              <w:rPr>
                <w:sz w:val="24"/>
                <w:szCs w:val="24"/>
              </w:rPr>
              <w:t xml:space="preserve">Band B </w:t>
            </w:r>
          </w:p>
        </w:tc>
        <w:tc>
          <w:tcPr>
            <w:tcW w:w="2459" w:type="dxa"/>
          </w:tcPr>
          <w:p w14:paraId="538C0DBF" w14:textId="317D1E80" w:rsidR="00020EA2" w:rsidRPr="00CF2CD1" w:rsidRDefault="00020EA2" w:rsidP="00020EA2">
            <w:pPr>
              <w:jc w:val="center"/>
              <w:rPr>
                <w:sz w:val="24"/>
                <w:szCs w:val="24"/>
              </w:rPr>
            </w:pPr>
            <w:r w:rsidRPr="00CF2CD1">
              <w:rPr>
                <w:sz w:val="24"/>
                <w:szCs w:val="24"/>
              </w:rPr>
              <w:t>93</w:t>
            </w:r>
          </w:p>
        </w:tc>
        <w:tc>
          <w:tcPr>
            <w:tcW w:w="2361" w:type="dxa"/>
          </w:tcPr>
          <w:p w14:paraId="3EF839A5" w14:textId="28117876" w:rsidR="00020EA2" w:rsidRPr="00CF2CD1" w:rsidRDefault="00020EA2" w:rsidP="00020EA2">
            <w:pPr>
              <w:jc w:val="center"/>
              <w:rPr>
                <w:sz w:val="24"/>
                <w:szCs w:val="24"/>
              </w:rPr>
            </w:pPr>
            <w:r w:rsidRPr="00CF2CD1">
              <w:rPr>
                <w:sz w:val="24"/>
                <w:szCs w:val="24"/>
              </w:rPr>
              <w:t>4</w:t>
            </w:r>
          </w:p>
        </w:tc>
        <w:tc>
          <w:tcPr>
            <w:tcW w:w="567" w:type="dxa"/>
          </w:tcPr>
          <w:p w14:paraId="53C83FF0" w14:textId="5C4B801E" w:rsidR="00020EA2" w:rsidRPr="00CF2CD1" w:rsidRDefault="00020EA2" w:rsidP="00020EA2">
            <w:pPr>
              <w:jc w:val="center"/>
              <w:rPr>
                <w:sz w:val="24"/>
                <w:szCs w:val="24"/>
              </w:rPr>
            </w:pPr>
            <w:r w:rsidRPr="00CF2CD1">
              <w:rPr>
                <w:sz w:val="24"/>
                <w:szCs w:val="24"/>
              </w:rPr>
              <w:t>97</w:t>
            </w:r>
          </w:p>
        </w:tc>
      </w:tr>
      <w:tr w:rsidR="00020EA2" w14:paraId="09DC118E" w14:textId="77777777" w:rsidTr="00B350F9">
        <w:tc>
          <w:tcPr>
            <w:tcW w:w="1903" w:type="dxa"/>
          </w:tcPr>
          <w:p w14:paraId="5C948ACE" w14:textId="11BC602E" w:rsidR="00020EA2" w:rsidRPr="00CF2CD1" w:rsidRDefault="00020EA2" w:rsidP="00020EA2">
            <w:pPr>
              <w:jc w:val="both"/>
              <w:rPr>
                <w:sz w:val="24"/>
                <w:szCs w:val="24"/>
              </w:rPr>
            </w:pPr>
            <w:r w:rsidRPr="00CF2CD1">
              <w:rPr>
                <w:sz w:val="24"/>
                <w:szCs w:val="24"/>
              </w:rPr>
              <w:t xml:space="preserve">Band C </w:t>
            </w:r>
          </w:p>
        </w:tc>
        <w:tc>
          <w:tcPr>
            <w:tcW w:w="2459" w:type="dxa"/>
          </w:tcPr>
          <w:p w14:paraId="499DEF94" w14:textId="2807ED4B" w:rsidR="00020EA2" w:rsidRPr="00CF2CD1" w:rsidRDefault="00020EA2" w:rsidP="00020EA2">
            <w:pPr>
              <w:jc w:val="center"/>
              <w:rPr>
                <w:sz w:val="24"/>
                <w:szCs w:val="24"/>
              </w:rPr>
            </w:pPr>
            <w:r w:rsidRPr="00CF2CD1">
              <w:rPr>
                <w:sz w:val="24"/>
                <w:szCs w:val="24"/>
              </w:rPr>
              <w:t>1</w:t>
            </w:r>
          </w:p>
        </w:tc>
        <w:tc>
          <w:tcPr>
            <w:tcW w:w="2361" w:type="dxa"/>
          </w:tcPr>
          <w:p w14:paraId="4AFCEC70" w14:textId="41471D8F" w:rsidR="00020EA2" w:rsidRPr="00CF2CD1" w:rsidRDefault="00020EA2" w:rsidP="00020EA2">
            <w:pPr>
              <w:jc w:val="center"/>
              <w:rPr>
                <w:sz w:val="24"/>
                <w:szCs w:val="24"/>
              </w:rPr>
            </w:pPr>
            <w:r w:rsidRPr="00CF2CD1">
              <w:rPr>
                <w:sz w:val="24"/>
                <w:szCs w:val="24"/>
              </w:rPr>
              <w:t>1</w:t>
            </w:r>
          </w:p>
        </w:tc>
        <w:tc>
          <w:tcPr>
            <w:tcW w:w="567" w:type="dxa"/>
          </w:tcPr>
          <w:p w14:paraId="64075F33" w14:textId="577EEE3E" w:rsidR="00020EA2" w:rsidRPr="00CF2CD1" w:rsidRDefault="00020EA2" w:rsidP="00020EA2">
            <w:pPr>
              <w:jc w:val="center"/>
              <w:rPr>
                <w:sz w:val="24"/>
                <w:szCs w:val="24"/>
              </w:rPr>
            </w:pPr>
            <w:r w:rsidRPr="00CF2CD1">
              <w:rPr>
                <w:sz w:val="24"/>
                <w:szCs w:val="24"/>
              </w:rPr>
              <w:t>2</w:t>
            </w:r>
          </w:p>
        </w:tc>
      </w:tr>
      <w:tr w:rsidR="00020EA2" w14:paraId="5E0A7D59" w14:textId="77777777" w:rsidTr="00B350F9">
        <w:tc>
          <w:tcPr>
            <w:tcW w:w="1903" w:type="dxa"/>
          </w:tcPr>
          <w:p w14:paraId="7D106A1F" w14:textId="0534AAE9" w:rsidR="00020EA2" w:rsidRPr="00CF2CD1" w:rsidRDefault="00020EA2" w:rsidP="00020EA2">
            <w:pPr>
              <w:jc w:val="both"/>
              <w:rPr>
                <w:b/>
                <w:bCs/>
                <w:sz w:val="24"/>
                <w:szCs w:val="24"/>
              </w:rPr>
            </w:pPr>
            <w:r w:rsidRPr="00CF2CD1">
              <w:rPr>
                <w:b/>
                <w:bCs/>
                <w:sz w:val="24"/>
                <w:szCs w:val="24"/>
              </w:rPr>
              <w:t>Total</w:t>
            </w:r>
          </w:p>
        </w:tc>
        <w:tc>
          <w:tcPr>
            <w:tcW w:w="2459" w:type="dxa"/>
          </w:tcPr>
          <w:p w14:paraId="79C42F07" w14:textId="59E41FFC" w:rsidR="00020EA2" w:rsidRPr="00CF2CD1" w:rsidRDefault="00020EA2" w:rsidP="00020EA2">
            <w:pPr>
              <w:jc w:val="center"/>
              <w:rPr>
                <w:b/>
                <w:bCs/>
                <w:sz w:val="24"/>
                <w:szCs w:val="24"/>
              </w:rPr>
            </w:pPr>
            <w:r w:rsidRPr="00CF2CD1">
              <w:rPr>
                <w:b/>
                <w:bCs/>
                <w:sz w:val="24"/>
                <w:szCs w:val="24"/>
              </w:rPr>
              <w:t>99</w:t>
            </w:r>
          </w:p>
        </w:tc>
        <w:tc>
          <w:tcPr>
            <w:tcW w:w="2361" w:type="dxa"/>
          </w:tcPr>
          <w:p w14:paraId="764D24D6" w14:textId="22B76604" w:rsidR="00020EA2" w:rsidRPr="00CF2CD1" w:rsidRDefault="00020EA2" w:rsidP="00020EA2">
            <w:pPr>
              <w:jc w:val="center"/>
              <w:rPr>
                <w:b/>
                <w:bCs/>
                <w:sz w:val="24"/>
                <w:szCs w:val="24"/>
              </w:rPr>
            </w:pPr>
            <w:r w:rsidRPr="00CF2CD1">
              <w:rPr>
                <w:b/>
                <w:bCs/>
                <w:sz w:val="24"/>
                <w:szCs w:val="24"/>
              </w:rPr>
              <w:t>44</w:t>
            </w:r>
          </w:p>
        </w:tc>
        <w:tc>
          <w:tcPr>
            <w:tcW w:w="567" w:type="dxa"/>
          </w:tcPr>
          <w:p w14:paraId="088B2B58" w14:textId="64291076" w:rsidR="00020EA2" w:rsidRPr="00CF2CD1" w:rsidRDefault="00020EA2" w:rsidP="00020EA2">
            <w:pPr>
              <w:jc w:val="center"/>
              <w:rPr>
                <w:b/>
                <w:bCs/>
                <w:sz w:val="24"/>
                <w:szCs w:val="24"/>
              </w:rPr>
            </w:pPr>
            <w:r w:rsidRPr="00CF2CD1">
              <w:rPr>
                <w:b/>
                <w:bCs/>
                <w:sz w:val="24"/>
                <w:szCs w:val="24"/>
              </w:rPr>
              <w:t>143</w:t>
            </w:r>
          </w:p>
        </w:tc>
      </w:tr>
    </w:tbl>
    <w:p w14:paraId="0603BE9F" w14:textId="77777777" w:rsidR="003A044E" w:rsidRPr="00757D2A" w:rsidRDefault="003A044E" w:rsidP="00020EA2">
      <w:pPr>
        <w:rPr>
          <w:sz w:val="24"/>
          <w:szCs w:val="24"/>
        </w:rPr>
      </w:pPr>
    </w:p>
    <w:p w14:paraId="1F9E65BA" w14:textId="367B6234" w:rsidR="003A044E" w:rsidRDefault="003A044E" w:rsidP="00020EA2">
      <w:pPr>
        <w:pStyle w:val="ListParagraph"/>
        <w:numPr>
          <w:ilvl w:val="0"/>
          <w:numId w:val="4"/>
        </w:numPr>
        <w:ind w:left="709"/>
        <w:rPr>
          <w:sz w:val="24"/>
          <w:szCs w:val="24"/>
        </w:rPr>
      </w:pPr>
      <w:r>
        <w:rPr>
          <w:sz w:val="24"/>
          <w:szCs w:val="24"/>
        </w:rPr>
        <w:t xml:space="preserve">All </w:t>
      </w:r>
      <w:r w:rsidR="0085416B">
        <w:rPr>
          <w:sz w:val="24"/>
          <w:szCs w:val="24"/>
        </w:rPr>
        <w:t>homes</w:t>
      </w:r>
      <w:r w:rsidR="00757D2A">
        <w:rPr>
          <w:sz w:val="24"/>
          <w:szCs w:val="24"/>
        </w:rPr>
        <w:t xml:space="preserve"> </w:t>
      </w:r>
      <w:r>
        <w:rPr>
          <w:sz w:val="24"/>
          <w:szCs w:val="24"/>
        </w:rPr>
        <w:t xml:space="preserve">will be allocated to applicants over the age of 50. </w:t>
      </w:r>
    </w:p>
    <w:p w14:paraId="143420B0" w14:textId="1D450195" w:rsidR="00817C9D" w:rsidRDefault="00817C9D" w:rsidP="00273E8E">
      <w:pPr>
        <w:pStyle w:val="ListParagraph"/>
        <w:ind w:left="709"/>
        <w:rPr>
          <w:sz w:val="24"/>
          <w:szCs w:val="24"/>
        </w:rPr>
      </w:pPr>
    </w:p>
    <w:p w14:paraId="3648FCA0" w14:textId="189F8EE1" w:rsidR="00817C9D" w:rsidRDefault="00817C9D" w:rsidP="00020EA2">
      <w:pPr>
        <w:pStyle w:val="ListParagraph"/>
        <w:numPr>
          <w:ilvl w:val="0"/>
          <w:numId w:val="4"/>
        </w:numPr>
        <w:ind w:left="709"/>
        <w:rPr>
          <w:sz w:val="24"/>
          <w:szCs w:val="24"/>
        </w:rPr>
      </w:pPr>
      <w:r>
        <w:rPr>
          <w:sz w:val="24"/>
          <w:szCs w:val="24"/>
        </w:rPr>
        <w:t>All homes will be allocated to Knowsley residents</w:t>
      </w:r>
      <w:r w:rsidR="00C3744F">
        <w:rPr>
          <w:sz w:val="24"/>
          <w:szCs w:val="24"/>
        </w:rPr>
        <w:t xml:space="preserve"> for the first round of lets</w:t>
      </w:r>
      <w:r>
        <w:rPr>
          <w:sz w:val="24"/>
          <w:szCs w:val="24"/>
        </w:rPr>
        <w:t xml:space="preserve">. </w:t>
      </w:r>
    </w:p>
    <w:p w14:paraId="77277228" w14:textId="77777777" w:rsidR="00020EA2" w:rsidRPr="00020EA2" w:rsidRDefault="00020EA2" w:rsidP="00020EA2">
      <w:pPr>
        <w:pStyle w:val="ListParagraph"/>
        <w:ind w:left="709"/>
        <w:rPr>
          <w:sz w:val="24"/>
          <w:szCs w:val="24"/>
        </w:rPr>
      </w:pPr>
    </w:p>
    <w:p w14:paraId="41E9D179" w14:textId="62B3B226" w:rsidR="00020EA2" w:rsidRPr="00020EA2" w:rsidRDefault="003A044E" w:rsidP="00020EA2">
      <w:pPr>
        <w:pStyle w:val="ListParagraph"/>
        <w:numPr>
          <w:ilvl w:val="0"/>
          <w:numId w:val="4"/>
        </w:numPr>
        <w:ind w:left="709"/>
        <w:jc w:val="both"/>
        <w:rPr>
          <w:sz w:val="24"/>
          <w:szCs w:val="24"/>
        </w:rPr>
      </w:pPr>
      <w:r w:rsidRPr="00017E97">
        <w:rPr>
          <w:sz w:val="24"/>
          <w:szCs w:val="24"/>
        </w:rPr>
        <w:t xml:space="preserve">All </w:t>
      </w:r>
      <w:r w:rsidR="00A57CB7">
        <w:rPr>
          <w:sz w:val="24"/>
          <w:szCs w:val="24"/>
        </w:rPr>
        <w:t>homes</w:t>
      </w:r>
      <w:r w:rsidRPr="00017E97">
        <w:rPr>
          <w:sz w:val="24"/>
          <w:szCs w:val="24"/>
        </w:rPr>
        <w:t xml:space="preserve"> will be allocated at affordable rent (80% of the market rent) and customers will be offered </w:t>
      </w:r>
      <w:r>
        <w:rPr>
          <w:sz w:val="24"/>
          <w:szCs w:val="24"/>
        </w:rPr>
        <w:t xml:space="preserve">either an </w:t>
      </w:r>
      <w:r w:rsidRPr="00017E97">
        <w:rPr>
          <w:sz w:val="24"/>
          <w:szCs w:val="24"/>
        </w:rPr>
        <w:t xml:space="preserve">Assured Shorthold </w:t>
      </w:r>
      <w:r>
        <w:rPr>
          <w:sz w:val="24"/>
          <w:szCs w:val="24"/>
        </w:rPr>
        <w:t>(starter) or full Assured t</w:t>
      </w:r>
      <w:r w:rsidRPr="00017E97">
        <w:rPr>
          <w:sz w:val="24"/>
          <w:szCs w:val="24"/>
        </w:rPr>
        <w:t>enancy agreement</w:t>
      </w:r>
      <w:r>
        <w:rPr>
          <w:sz w:val="24"/>
          <w:szCs w:val="24"/>
        </w:rPr>
        <w:t xml:space="preserve"> (where they have already held a starter tenancy in a previous home).</w:t>
      </w:r>
    </w:p>
    <w:p w14:paraId="7C8CD58F" w14:textId="77777777" w:rsidR="00020EA2" w:rsidRPr="00020EA2" w:rsidRDefault="00020EA2" w:rsidP="00020EA2">
      <w:pPr>
        <w:pStyle w:val="ListParagraph"/>
        <w:ind w:left="709"/>
        <w:jc w:val="both"/>
        <w:rPr>
          <w:sz w:val="24"/>
          <w:szCs w:val="24"/>
        </w:rPr>
      </w:pPr>
    </w:p>
    <w:p w14:paraId="34D8442B" w14:textId="60FB3654" w:rsidR="003032D0" w:rsidRDefault="003A044E" w:rsidP="00020EA2">
      <w:pPr>
        <w:pStyle w:val="ListParagraph"/>
        <w:numPr>
          <w:ilvl w:val="0"/>
          <w:numId w:val="4"/>
        </w:numPr>
        <w:ind w:left="709"/>
        <w:jc w:val="both"/>
        <w:rPr>
          <w:sz w:val="24"/>
          <w:szCs w:val="24"/>
        </w:rPr>
      </w:pPr>
      <w:r>
        <w:rPr>
          <w:sz w:val="24"/>
          <w:szCs w:val="24"/>
        </w:rPr>
        <w:t xml:space="preserve">All </w:t>
      </w:r>
      <w:r w:rsidR="00A57CB7">
        <w:rPr>
          <w:sz w:val="24"/>
          <w:szCs w:val="24"/>
        </w:rPr>
        <w:t>homes</w:t>
      </w:r>
      <w:r>
        <w:rPr>
          <w:sz w:val="24"/>
          <w:szCs w:val="24"/>
        </w:rPr>
        <w:t xml:space="preserve"> </w:t>
      </w:r>
      <w:r w:rsidRPr="00990A82">
        <w:rPr>
          <w:sz w:val="24"/>
          <w:szCs w:val="24"/>
        </w:rPr>
        <w:t>will be allocated on a % basis across Band A</w:t>
      </w:r>
      <w:r w:rsidR="00D14980">
        <w:rPr>
          <w:sz w:val="24"/>
          <w:szCs w:val="24"/>
        </w:rPr>
        <w:t xml:space="preserve"> </w:t>
      </w:r>
      <w:r w:rsidR="00792527">
        <w:rPr>
          <w:sz w:val="24"/>
          <w:szCs w:val="24"/>
        </w:rPr>
        <w:t>–</w:t>
      </w:r>
      <w:r w:rsidRPr="00990A82">
        <w:rPr>
          <w:sz w:val="24"/>
          <w:szCs w:val="24"/>
        </w:rPr>
        <w:t xml:space="preserve"> </w:t>
      </w:r>
      <w:r w:rsidR="00792527">
        <w:rPr>
          <w:sz w:val="24"/>
          <w:szCs w:val="24"/>
        </w:rPr>
        <w:t xml:space="preserve">B </w:t>
      </w:r>
      <w:r w:rsidRPr="00990A82">
        <w:rPr>
          <w:sz w:val="24"/>
          <w:szCs w:val="24"/>
        </w:rPr>
        <w:t>housing need Property Pool bandings</w:t>
      </w:r>
      <w:r w:rsidR="001445E5">
        <w:rPr>
          <w:sz w:val="24"/>
          <w:szCs w:val="24"/>
        </w:rPr>
        <w:t xml:space="preserve">, with preference for a % of </w:t>
      </w:r>
      <w:r w:rsidR="00A57CB7">
        <w:rPr>
          <w:sz w:val="24"/>
          <w:szCs w:val="24"/>
        </w:rPr>
        <w:t>homes</w:t>
      </w:r>
      <w:r w:rsidR="001445E5">
        <w:rPr>
          <w:sz w:val="24"/>
          <w:szCs w:val="24"/>
        </w:rPr>
        <w:t xml:space="preserve"> to be allocated to social housing tenants who are currently under occupying as set out in the table below:</w:t>
      </w:r>
    </w:p>
    <w:p w14:paraId="05197ED0" w14:textId="77777777" w:rsidR="00FD12EE" w:rsidRPr="00FD12EE" w:rsidRDefault="00FD12EE" w:rsidP="00FD12EE">
      <w:pPr>
        <w:jc w:val="both"/>
        <w:rPr>
          <w:sz w:val="24"/>
          <w:szCs w:val="24"/>
        </w:rPr>
      </w:pPr>
    </w:p>
    <w:tbl>
      <w:tblPr>
        <w:tblStyle w:val="TableGrid"/>
        <w:tblW w:w="0" w:type="auto"/>
        <w:tblInd w:w="709" w:type="dxa"/>
        <w:tblLook w:val="04A0" w:firstRow="1" w:lastRow="0" w:firstColumn="1" w:lastColumn="0" w:noHBand="0" w:noVBand="1"/>
      </w:tblPr>
      <w:tblGrid>
        <w:gridCol w:w="1980"/>
        <w:gridCol w:w="2409"/>
        <w:gridCol w:w="2268"/>
        <w:gridCol w:w="851"/>
        <w:gridCol w:w="756"/>
      </w:tblGrid>
      <w:tr w:rsidR="0002376B" w14:paraId="31CD0C85" w14:textId="72DB3500" w:rsidTr="00CF2CD1">
        <w:tc>
          <w:tcPr>
            <w:tcW w:w="1980" w:type="dxa"/>
            <w:vMerge w:val="restart"/>
          </w:tcPr>
          <w:p w14:paraId="23BC4B77" w14:textId="77777777" w:rsidR="0002376B" w:rsidRDefault="0002376B" w:rsidP="003032D0">
            <w:pPr>
              <w:pStyle w:val="ListParagraph"/>
              <w:ind w:left="0"/>
              <w:jc w:val="both"/>
              <w:rPr>
                <w:sz w:val="24"/>
                <w:szCs w:val="24"/>
              </w:rPr>
            </w:pPr>
            <w:r>
              <w:rPr>
                <w:sz w:val="24"/>
                <w:szCs w:val="24"/>
              </w:rPr>
              <w:t xml:space="preserve">Knowsley Housing </w:t>
            </w:r>
          </w:p>
          <w:p w14:paraId="0B8283FC" w14:textId="2CED394F" w:rsidR="0002376B" w:rsidRDefault="0002376B" w:rsidP="003032D0">
            <w:pPr>
              <w:pStyle w:val="ListParagraph"/>
              <w:ind w:left="0"/>
              <w:jc w:val="both"/>
              <w:rPr>
                <w:sz w:val="24"/>
                <w:szCs w:val="24"/>
              </w:rPr>
            </w:pPr>
            <w:r>
              <w:rPr>
                <w:sz w:val="24"/>
                <w:szCs w:val="24"/>
              </w:rPr>
              <w:t xml:space="preserve">Band </w:t>
            </w:r>
          </w:p>
        </w:tc>
        <w:tc>
          <w:tcPr>
            <w:tcW w:w="4677" w:type="dxa"/>
            <w:gridSpan w:val="2"/>
          </w:tcPr>
          <w:p w14:paraId="1E7E6859" w14:textId="5341E07A" w:rsidR="0002376B" w:rsidRDefault="0002376B" w:rsidP="0002376B">
            <w:pPr>
              <w:pStyle w:val="ListParagraph"/>
              <w:ind w:left="0"/>
              <w:jc w:val="center"/>
              <w:rPr>
                <w:sz w:val="24"/>
                <w:szCs w:val="24"/>
              </w:rPr>
            </w:pPr>
            <w:r>
              <w:rPr>
                <w:sz w:val="24"/>
                <w:szCs w:val="24"/>
              </w:rPr>
              <w:t>Property size</w:t>
            </w:r>
          </w:p>
        </w:tc>
        <w:tc>
          <w:tcPr>
            <w:tcW w:w="851" w:type="dxa"/>
            <w:vMerge w:val="restart"/>
          </w:tcPr>
          <w:p w14:paraId="7275F1E0" w14:textId="6DF08C50" w:rsidR="0002376B" w:rsidRDefault="0002376B" w:rsidP="0002376B">
            <w:pPr>
              <w:pStyle w:val="ListParagraph"/>
              <w:ind w:left="0"/>
              <w:jc w:val="center"/>
              <w:rPr>
                <w:sz w:val="24"/>
                <w:szCs w:val="24"/>
              </w:rPr>
            </w:pPr>
            <w:r>
              <w:rPr>
                <w:sz w:val="24"/>
                <w:szCs w:val="24"/>
              </w:rPr>
              <w:t>Total</w:t>
            </w:r>
          </w:p>
        </w:tc>
        <w:tc>
          <w:tcPr>
            <w:tcW w:w="283" w:type="dxa"/>
            <w:vMerge w:val="restart"/>
          </w:tcPr>
          <w:p w14:paraId="5E8D3DD4" w14:textId="6B3B0D5A" w:rsidR="0002376B" w:rsidRDefault="0002376B" w:rsidP="0002376B">
            <w:pPr>
              <w:pStyle w:val="ListParagraph"/>
              <w:ind w:left="0"/>
              <w:jc w:val="center"/>
              <w:rPr>
                <w:sz w:val="24"/>
                <w:szCs w:val="24"/>
              </w:rPr>
            </w:pPr>
            <w:r>
              <w:rPr>
                <w:sz w:val="24"/>
                <w:szCs w:val="24"/>
              </w:rPr>
              <w:t>%</w:t>
            </w:r>
          </w:p>
        </w:tc>
      </w:tr>
      <w:tr w:rsidR="0002376B" w14:paraId="38C91C12" w14:textId="7FDEDC6B" w:rsidTr="00CF2CD1">
        <w:tc>
          <w:tcPr>
            <w:tcW w:w="1980" w:type="dxa"/>
            <w:vMerge/>
          </w:tcPr>
          <w:p w14:paraId="2CB91F73" w14:textId="069B1164" w:rsidR="0002376B" w:rsidRDefault="0002376B" w:rsidP="003032D0">
            <w:pPr>
              <w:pStyle w:val="ListParagraph"/>
              <w:ind w:left="0"/>
              <w:jc w:val="both"/>
              <w:rPr>
                <w:sz w:val="24"/>
                <w:szCs w:val="24"/>
              </w:rPr>
            </w:pPr>
          </w:p>
        </w:tc>
        <w:tc>
          <w:tcPr>
            <w:tcW w:w="2409" w:type="dxa"/>
          </w:tcPr>
          <w:p w14:paraId="54F83D0B" w14:textId="7ED25EA0" w:rsidR="0002376B" w:rsidRDefault="0002376B" w:rsidP="0002376B">
            <w:pPr>
              <w:pStyle w:val="ListParagraph"/>
              <w:ind w:left="0"/>
              <w:jc w:val="center"/>
              <w:rPr>
                <w:sz w:val="24"/>
                <w:szCs w:val="24"/>
              </w:rPr>
            </w:pPr>
            <w:r>
              <w:rPr>
                <w:sz w:val="24"/>
                <w:szCs w:val="24"/>
              </w:rPr>
              <w:t>1 bed</w:t>
            </w:r>
          </w:p>
        </w:tc>
        <w:tc>
          <w:tcPr>
            <w:tcW w:w="2268" w:type="dxa"/>
          </w:tcPr>
          <w:p w14:paraId="524AA6A9" w14:textId="537C18C0" w:rsidR="0002376B" w:rsidRDefault="0002376B" w:rsidP="0002376B">
            <w:pPr>
              <w:pStyle w:val="ListParagraph"/>
              <w:ind w:left="0"/>
              <w:jc w:val="center"/>
              <w:rPr>
                <w:sz w:val="24"/>
                <w:szCs w:val="24"/>
              </w:rPr>
            </w:pPr>
            <w:r>
              <w:rPr>
                <w:sz w:val="24"/>
                <w:szCs w:val="24"/>
              </w:rPr>
              <w:t>2 bed</w:t>
            </w:r>
          </w:p>
        </w:tc>
        <w:tc>
          <w:tcPr>
            <w:tcW w:w="851" w:type="dxa"/>
            <w:vMerge/>
          </w:tcPr>
          <w:p w14:paraId="14E88F2B" w14:textId="23867F4E" w:rsidR="0002376B" w:rsidRDefault="0002376B" w:rsidP="0002376B">
            <w:pPr>
              <w:pStyle w:val="ListParagraph"/>
              <w:ind w:left="0"/>
              <w:jc w:val="both"/>
              <w:rPr>
                <w:sz w:val="24"/>
                <w:szCs w:val="24"/>
              </w:rPr>
            </w:pPr>
          </w:p>
        </w:tc>
        <w:tc>
          <w:tcPr>
            <w:tcW w:w="283" w:type="dxa"/>
            <w:vMerge/>
          </w:tcPr>
          <w:p w14:paraId="23BAFAB2" w14:textId="77777777" w:rsidR="0002376B" w:rsidRDefault="0002376B" w:rsidP="0002376B">
            <w:pPr>
              <w:pStyle w:val="ListParagraph"/>
              <w:ind w:left="0"/>
              <w:jc w:val="both"/>
              <w:rPr>
                <w:sz w:val="24"/>
                <w:szCs w:val="24"/>
              </w:rPr>
            </w:pPr>
          </w:p>
        </w:tc>
      </w:tr>
      <w:tr w:rsidR="0002376B" w14:paraId="54637A31" w14:textId="4EDC2FF6" w:rsidTr="00CF2CD1">
        <w:tc>
          <w:tcPr>
            <w:tcW w:w="1980" w:type="dxa"/>
          </w:tcPr>
          <w:p w14:paraId="1646A1E7" w14:textId="0D9EAB85" w:rsidR="0002376B" w:rsidRDefault="0002376B" w:rsidP="003032D0">
            <w:pPr>
              <w:pStyle w:val="ListParagraph"/>
              <w:ind w:left="0"/>
              <w:jc w:val="both"/>
              <w:rPr>
                <w:sz w:val="24"/>
                <w:szCs w:val="24"/>
              </w:rPr>
            </w:pPr>
            <w:r>
              <w:rPr>
                <w:sz w:val="24"/>
                <w:szCs w:val="24"/>
              </w:rPr>
              <w:lastRenderedPageBreak/>
              <w:t xml:space="preserve">Band A </w:t>
            </w:r>
          </w:p>
        </w:tc>
        <w:tc>
          <w:tcPr>
            <w:tcW w:w="2409" w:type="dxa"/>
          </w:tcPr>
          <w:p w14:paraId="2EBDD9B6" w14:textId="494C1B68" w:rsidR="0002376B" w:rsidRDefault="008F7684" w:rsidP="008F7684">
            <w:pPr>
              <w:pStyle w:val="ListParagraph"/>
              <w:ind w:left="0"/>
              <w:rPr>
                <w:sz w:val="24"/>
                <w:szCs w:val="24"/>
              </w:rPr>
            </w:pPr>
            <w:r>
              <w:rPr>
                <w:sz w:val="24"/>
                <w:szCs w:val="24"/>
              </w:rPr>
              <w:t>8 (</w:t>
            </w:r>
            <w:r w:rsidR="001263CD">
              <w:rPr>
                <w:sz w:val="24"/>
                <w:szCs w:val="24"/>
              </w:rPr>
              <w:t xml:space="preserve">4x </w:t>
            </w:r>
            <w:r>
              <w:rPr>
                <w:sz w:val="24"/>
                <w:szCs w:val="24"/>
              </w:rPr>
              <w:t xml:space="preserve">for </w:t>
            </w:r>
            <w:r w:rsidR="00CF2CD1">
              <w:rPr>
                <w:sz w:val="24"/>
                <w:szCs w:val="24"/>
              </w:rPr>
              <w:t>transfer</w:t>
            </w:r>
            <w:r>
              <w:rPr>
                <w:sz w:val="24"/>
                <w:szCs w:val="24"/>
              </w:rPr>
              <w:t xml:space="preserve"> tenants currently under-occupying)</w:t>
            </w:r>
          </w:p>
        </w:tc>
        <w:tc>
          <w:tcPr>
            <w:tcW w:w="2268" w:type="dxa"/>
          </w:tcPr>
          <w:p w14:paraId="4455D6D6" w14:textId="5B9A36E7" w:rsidR="0002376B" w:rsidRPr="008F7684" w:rsidRDefault="008F7684" w:rsidP="008F7684">
            <w:pPr>
              <w:pStyle w:val="ListParagraph"/>
              <w:ind w:left="0"/>
              <w:rPr>
                <w:b/>
                <w:bCs/>
                <w:sz w:val="24"/>
                <w:szCs w:val="24"/>
              </w:rPr>
            </w:pPr>
            <w:r>
              <w:rPr>
                <w:sz w:val="24"/>
                <w:szCs w:val="24"/>
              </w:rPr>
              <w:t>4 (</w:t>
            </w:r>
            <w:r w:rsidR="001263CD">
              <w:rPr>
                <w:sz w:val="24"/>
                <w:szCs w:val="24"/>
              </w:rPr>
              <w:t>2</w:t>
            </w:r>
            <w:r>
              <w:rPr>
                <w:sz w:val="24"/>
                <w:szCs w:val="24"/>
              </w:rPr>
              <w:t xml:space="preserve">x for </w:t>
            </w:r>
            <w:r w:rsidR="00CF2CD1">
              <w:rPr>
                <w:sz w:val="24"/>
                <w:szCs w:val="24"/>
              </w:rPr>
              <w:t>transfer</w:t>
            </w:r>
            <w:r>
              <w:rPr>
                <w:sz w:val="24"/>
                <w:szCs w:val="24"/>
              </w:rPr>
              <w:t xml:space="preserve"> tenants currently under-occupying)</w:t>
            </w:r>
          </w:p>
        </w:tc>
        <w:tc>
          <w:tcPr>
            <w:tcW w:w="851" w:type="dxa"/>
          </w:tcPr>
          <w:p w14:paraId="2C1FA0AB" w14:textId="19A0D8B3" w:rsidR="0002376B" w:rsidRPr="00CF2CD1" w:rsidRDefault="008F7684" w:rsidP="00FD12EE">
            <w:pPr>
              <w:jc w:val="center"/>
              <w:rPr>
                <w:b/>
                <w:bCs/>
                <w:sz w:val="24"/>
                <w:szCs w:val="24"/>
              </w:rPr>
            </w:pPr>
            <w:r w:rsidRPr="00CF2CD1">
              <w:rPr>
                <w:b/>
                <w:bCs/>
                <w:sz w:val="24"/>
                <w:szCs w:val="24"/>
              </w:rPr>
              <w:t>12</w:t>
            </w:r>
          </w:p>
        </w:tc>
        <w:tc>
          <w:tcPr>
            <w:tcW w:w="283" w:type="dxa"/>
          </w:tcPr>
          <w:p w14:paraId="7028C15D" w14:textId="5A242B8B" w:rsidR="0002376B" w:rsidRPr="00CF2CD1" w:rsidRDefault="008F7684" w:rsidP="00FD12EE">
            <w:pPr>
              <w:jc w:val="center"/>
              <w:rPr>
                <w:b/>
                <w:bCs/>
                <w:sz w:val="24"/>
                <w:szCs w:val="24"/>
              </w:rPr>
            </w:pPr>
            <w:r w:rsidRPr="00CF2CD1">
              <w:rPr>
                <w:b/>
                <w:bCs/>
                <w:sz w:val="24"/>
                <w:szCs w:val="24"/>
              </w:rPr>
              <w:t>40</w:t>
            </w:r>
            <w:r w:rsidR="00FD12EE" w:rsidRPr="00CF2CD1">
              <w:rPr>
                <w:b/>
                <w:bCs/>
                <w:sz w:val="24"/>
                <w:szCs w:val="24"/>
              </w:rPr>
              <w:t>%</w:t>
            </w:r>
          </w:p>
        </w:tc>
      </w:tr>
      <w:tr w:rsidR="0002376B" w14:paraId="66C089EC" w14:textId="05749EB6" w:rsidTr="00CF2CD1">
        <w:tc>
          <w:tcPr>
            <w:tcW w:w="1980" w:type="dxa"/>
            <w:shd w:val="clear" w:color="auto" w:fill="D9D9D9" w:themeFill="background1" w:themeFillShade="D9"/>
          </w:tcPr>
          <w:p w14:paraId="616828FB" w14:textId="77777777" w:rsidR="0002376B" w:rsidRDefault="0002376B" w:rsidP="003032D0">
            <w:pPr>
              <w:pStyle w:val="ListParagraph"/>
              <w:ind w:left="0"/>
              <w:jc w:val="both"/>
              <w:rPr>
                <w:sz w:val="24"/>
                <w:szCs w:val="24"/>
              </w:rPr>
            </w:pPr>
          </w:p>
        </w:tc>
        <w:tc>
          <w:tcPr>
            <w:tcW w:w="2409" w:type="dxa"/>
            <w:shd w:val="clear" w:color="auto" w:fill="D9D9D9" w:themeFill="background1" w:themeFillShade="D9"/>
          </w:tcPr>
          <w:p w14:paraId="73F91DD1" w14:textId="77777777" w:rsidR="0002376B" w:rsidRDefault="0002376B" w:rsidP="0002376B">
            <w:pPr>
              <w:pStyle w:val="ListParagraph"/>
              <w:ind w:left="0"/>
              <w:jc w:val="both"/>
              <w:rPr>
                <w:sz w:val="24"/>
                <w:szCs w:val="24"/>
              </w:rPr>
            </w:pPr>
          </w:p>
        </w:tc>
        <w:tc>
          <w:tcPr>
            <w:tcW w:w="2268" w:type="dxa"/>
            <w:shd w:val="clear" w:color="auto" w:fill="D9D9D9" w:themeFill="background1" w:themeFillShade="D9"/>
          </w:tcPr>
          <w:p w14:paraId="36F9C5B3" w14:textId="77777777" w:rsidR="0002376B" w:rsidRDefault="0002376B" w:rsidP="0002376B">
            <w:pPr>
              <w:pStyle w:val="ListParagraph"/>
              <w:ind w:left="0"/>
              <w:jc w:val="both"/>
              <w:rPr>
                <w:sz w:val="24"/>
                <w:szCs w:val="24"/>
              </w:rPr>
            </w:pPr>
          </w:p>
        </w:tc>
        <w:tc>
          <w:tcPr>
            <w:tcW w:w="851" w:type="dxa"/>
            <w:shd w:val="clear" w:color="auto" w:fill="D9D9D9" w:themeFill="background1" w:themeFillShade="D9"/>
          </w:tcPr>
          <w:p w14:paraId="272237B9" w14:textId="77777777" w:rsidR="0002376B" w:rsidRDefault="0002376B" w:rsidP="00FD12EE">
            <w:pPr>
              <w:pStyle w:val="ListParagraph"/>
              <w:ind w:left="0"/>
              <w:jc w:val="center"/>
              <w:rPr>
                <w:sz w:val="24"/>
                <w:szCs w:val="24"/>
              </w:rPr>
            </w:pPr>
          </w:p>
        </w:tc>
        <w:tc>
          <w:tcPr>
            <w:tcW w:w="283" w:type="dxa"/>
            <w:shd w:val="clear" w:color="auto" w:fill="D9D9D9" w:themeFill="background1" w:themeFillShade="D9"/>
          </w:tcPr>
          <w:p w14:paraId="65F9716D" w14:textId="77777777" w:rsidR="0002376B" w:rsidRDefault="0002376B" w:rsidP="00FD12EE">
            <w:pPr>
              <w:pStyle w:val="ListParagraph"/>
              <w:ind w:left="0"/>
              <w:jc w:val="center"/>
              <w:rPr>
                <w:sz w:val="24"/>
                <w:szCs w:val="24"/>
              </w:rPr>
            </w:pPr>
          </w:p>
        </w:tc>
      </w:tr>
      <w:tr w:rsidR="0002376B" w14:paraId="5477556A" w14:textId="21F569D4" w:rsidTr="00CF2CD1">
        <w:tc>
          <w:tcPr>
            <w:tcW w:w="1980" w:type="dxa"/>
          </w:tcPr>
          <w:p w14:paraId="07537AE1" w14:textId="4C031FAF" w:rsidR="0002376B" w:rsidRDefault="0002376B" w:rsidP="003032D0">
            <w:pPr>
              <w:pStyle w:val="ListParagraph"/>
              <w:ind w:left="0"/>
              <w:jc w:val="both"/>
              <w:rPr>
                <w:sz w:val="24"/>
                <w:szCs w:val="24"/>
              </w:rPr>
            </w:pPr>
            <w:r>
              <w:rPr>
                <w:sz w:val="24"/>
                <w:szCs w:val="24"/>
              </w:rPr>
              <w:t xml:space="preserve">Band B </w:t>
            </w:r>
          </w:p>
        </w:tc>
        <w:tc>
          <w:tcPr>
            <w:tcW w:w="2409" w:type="dxa"/>
          </w:tcPr>
          <w:p w14:paraId="289DAB62" w14:textId="463915C2" w:rsidR="0002376B" w:rsidRDefault="008F7684" w:rsidP="008F7684">
            <w:pPr>
              <w:pStyle w:val="ListParagraph"/>
              <w:ind w:left="0"/>
              <w:rPr>
                <w:sz w:val="24"/>
                <w:szCs w:val="24"/>
              </w:rPr>
            </w:pPr>
            <w:r>
              <w:rPr>
                <w:sz w:val="24"/>
                <w:szCs w:val="24"/>
              </w:rPr>
              <w:t>14 (</w:t>
            </w:r>
            <w:r w:rsidR="001263CD">
              <w:rPr>
                <w:sz w:val="24"/>
                <w:szCs w:val="24"/>
              </w:rPr>
              <w:t>7</w:t>
            </w:r>
            <w:r>
              <w:rPr>
                <w:sz w:val="24"/>
                <w:szCs w:val="24"/>
              </w:rPr>
              <w:t xml:space="preserve">x for </w:t>
            </w:r>
            <w:r w:rsidR="00CF2CD1">
              <w:rPr>
                <w:sz w:val="24"/>
                <w:szCs w:val="24"/>
              </w:rPr>
              <w:t>transfer</w:t>
            </w:r>
            <w:r>
              <w:rPr>
                <w:sz w:val="24"/>
                <w:szCs w:val="24"/>
              </w:rPr>
              <w:t xml:space="preserve"> tenants currently under-occupying)</w:t>
            </w:r>
          </w:p>
        </w:tc>
        <w:tc>
          <w:tcPr>
            <w:tcW w:w="2268" w:type="dxa"/>
          </w:tcPr>
          <w:p w14:paraId="43C4976F" w14:textId="17048527" w:rsidR="0002376B" w:rsidRDefault="008F7684" w:rsidP="008F7684">
            <w:pPr>
              <w:pStyle w:val="ListParagraph"/>
              <w:ind w:left="0"/>
              <w:rPr>
                <w:sz w:val="24"/>
                <w:szCs w:val="24"/>
              </w:rPr>
            </w:pPr>
            <w:r>
              <w:rPr>
                <w:sz w:val="24"/>
                <w:szCs w:val="24"/>
              </w:rPr>
              <w:t>5 (</w:t>
            </w:r>
            <w:r w:rsidR="001263CD">
              <w:rPr>
                <w:sz w:val="24"/>
                <w:szCs w:val="24"/>
              </w:rPr>
              <w:t xml:space="preserve">2x </w:t>
            </w:r>
            <w:r>
              <w:rPr>
                <w:sz w:val="24"/>
                <w:szCs w:val="24"/>
              </w:rPr>
              <w:t xml:space="preserve">for </w:t>
            </w:r>
            <w:r w:rsidR="00CF2CD1">
              <w:rPr>
                <w:sz w:val="24"/>
                <w:szCs w:val="24"/>
              </w:rPr>
              <w:t>transfer</w:t>
            </w:r>
            <w:r>
              <w:rPr>
                <w:sz w:val="24"/>
                <w:szCs w:val="24"/>
              </w:rPr>
              <w:t xml:space="preserve"> tenants currently under-occupying)</w:t>
            </w:r>
          </w:p>
        </w:tc>
        <w:tc>
          <w:tcPr>
            <w:tcW w:w="851" w:type="dxa"/>
          </w:tcPr>
          <w:p w14:paraId="67F24614" w14:textId="5FD06DA0" w:rsidR="0002376B" w:rsidRPr="00CF2CD1" w:rsidRDefault="008F7684" w:rsidP="00FD12EE">
            <w:pPr>
              <w:pStyle w:val="ListParagraph"/>
              <w:ind w:left="0"/>
              <w:jc w:val="center"/>
              <w:rPr>
                <w:b/>
                <w:bCs/>
                <w:sz w:val="24"/>
                <w:szCs w:val="24"/>
              </w:rPr>
            </w:pPr>
            <w:r w:rsidRPr="00CF2CD1">
              <w:rPr>
                <w:b/>
                <w:bCs/>
                <w:sz w:val="24"/>
                <w:szCs w:val="24"/>
              </w:rPr>
              <w:t>19</w:t>
            </w:r>
          </w:p>
        </w:tc>
        <w:tc>
          <w:tcPr>
            <w:tcW w:w="283" w:type="dxa"/>
          </w:tcPr>
          <w:p w14:paraId="5EE9BB9C" w14:textId="57637A04" w:rsidR="0002376B" w:rsidRPr="00CF2CD1" w:rsidRDefault="00FD12EE" w:rsidP="00FD12EE">
            <w:pPr>
              <w:pStyle w:val="ListParagraph"/>
              <w:ind w:left="0"/>
              <w:jc w:val="center"/>
              <w:rPr>
                <w:b/>
                <w:bCs/>
                <w:sz w:val="24"/>
                <w:szCs w:val="24"/>
              </w:rPr>
            </w:pPr>
            <w:r w:rsidRPr="00CF2CD1">
              <w:rPr>
                <w:b/>
                <w:bCs/>
                <w:sz w:val="24"/>
                <w:szCs w:val="24"/>
              </w:rPr>
              <w:t>60%</w:t>
            </w:r>
          </w:p>
        </w:tc>
      </w:tr>
      <w:tr w:rsidR="0002376B" w14:paraId="65A0D273" w14:textId="1877B093" w:rsidTr="00CF2CD1">
        <w:tc>
          <w:tcPr>
            <w:tcW w:w="1980" w:type="dxa"/>
            <w:shd w:val="clear" w:color="auto" w:fill="D9D9D9" w:themeFill="background1" w:themeFillShade="D9"/>
          </w:tcPr>
          <w:p w14:paraId="7771D516" w14:textId="77777777" w:rsidR="0002376B" w:rsidRDefault="0002376B" w:rsidP="003032D0">
            <w:pPr>
              <w:pStyle w:val="ListParagraph"/>
              <w:ind w:left="0"/>
              <w:jc w:val="both"/>
              <w:rPr>
                <w:sz w:val="24"/>
                <w:szCs w:val="24"/>
              </w:rPr>
            </w:pPr>
          </w:p>
        </w:tc>
        <w:tc>
          <w:tcPr>
            <w:tcW w:w="2409" w:type="dxa"/>
            <w:shd w:val="clear" w:color="auto" w:fill="D9D9D9" w:themeFill="background1" w:themeFillShade="D9"/>
          </w:tcPr>
          <w:p w14:paraId="650898AA" w14:textId="77777777" w:rsidR="0002376B" w:rsidRDefault="0002376B" w:rsidP="0002376B">
            <w:pPr>
              <w:pStyle w:val="ListParagraph"/>
              <w:ind w:left="0"/>
              <w:jc w:val="both"/>
              <w:rPr>
                <w:sz w:val="24"/>
                <w:szCs w:val="24"/>
              </w:rPr>
            </w:pPr>
          </w:p>
        </w:tc>
        <w:tc>
          <w:tcPr>
            <w:tcW w:w="2268" w:type="dxa"/>
            <w:shd w:val="clear" w:color="auto" w:fill="D9D9D9" w:themeFill="background1" w:themeFillShade="D9"/>
          </w:tcPr>
          <w:p w14:paraId="15D5A347" w14:textId="77777777" w:rsidR="0002376B" w:rsidRDefault="0002376B" w:rsidP="0002376B">
            <w:pPr>
              <w:pStyle w:val="ListParagraph"/>
              <w:ind w:left="0"/>
              <w:jc w:val="both"/>
              <w:rPr>
                <w:sz w:val="24"/>
                <w:szCs w:val="24"/>
              </w:rPr>
            </w:pPr>
          </w:p>
        </w:tc>
        <w:tc>
          <w:tcPr>
            <w:tcW w:w="851" w:type="dxa"/>
            <w:shd w:val="clear" w:color="auto" w:fill="D9D9D9" w:themeFill="background1" w:themeFillShade="D9"/>
          </w:tcPr>
          <w:p w14:paraId="3FE59563" w14:textId="77777777" w:rsidR="0002376B" w:rsidRDefault="0002376B" w:rsidP="0002376B">
            <w:pPr>
              <w:pStyle w:val="ListParagraph"/>
              <w:ind w:left="0"/>
              <w:jc w:val="both"/>
              <w:rPr>
                <w:sz w:val="24"/>
                <w:szCs w:val="24"/>
              </w:rPr>
            </w:pPr>
          </w:p>
        </w:tc>
        <w:tc>
          <w:tcPr>
            <w:tcW w:w="283" w:type="dxa"/>
            <w:shd w:val="clear" w:color="auto" w:fill="D9D9D9" w:themeFill="background1" w:themeFillShade="D9"/>
          </w:tcPr>
          <w:p w14:paraId="42BDC70D" w14:textId="77777777" w:rsidR="0002376B" w:rsidRDefault="0002376B" w:rsidP="0002376B">
            <w:pPr>
              <w:pStyle w:val="ListParagraph"/>
              <w:ind w:left="0"/>
              <w:jc w:val="both"/>
              <w:rPr>
                <w:sz w:val="24"/>
                <w:szCs w:val="24"/>
              </w:rPr>
            </w:pPr>
          </w:p>
        </w:tc>
      </w:tr>
      <w:tr w:rsidR="0002376B" w14:paraId="567FE2F6" w14:textId="0CEA263D" w:rsidTr="00CF2CD1">
        <w:tc>
          <w:tcPr>
            <w:tcW w:w="1980" w:type="dxa"/>
          </w:tcPr>
          <w:p w14:paraId="7F624BBB" w14:textId="465320E6" w:rsidR="0002376B" w:rsidRDefault="0002376B" w:rsidP="003032D0">
            <w:pPr>
              <w:pStyle w:val="ListParagraph"/>
              <w:ind w:left="0"/>
              <w:jc w:val="both"/>
              <w:rPr>
                <w:sz w:val="24"/>
                <w:szCs w:val="24"/>
              </w:rPr>
            </w:pPr>
            <w:r>
              <w:rPr>
                <w:sz w:val="24"/>
                <w:szCs w:val="24"/>
              </w:rPr>
              <w:t>Total</w:t>
            </w:r>
          </w:p>
        </w:tc>
        <w:tc>
          <w:tcPr>
            <w:tcW w:w="2409" w:type="dxa"/>
          </w:tcPr>
          <w:p w14:paraId="79002FA1" w14:textId="2D55D452" w:rsidR="0002376B" w:rsidRDefault="00CF2CD1" w:rsidP="00CF2CD1">
            <w:pPr>
              <w:pStyle w:val="ListParagraph"/>
              <w:ind w:left="0"/>
              <w:rPr>
                <w:sz w:val="24"/>
                <w:szCs w:val="24"/>
              </w:rPr>
            </w:pPr>
            <w:r>
              <w:rPr>
                <w:sz w:val="24"/>
                <w:szCs w:val="24"/>
              </w:rPr>
              <w:t>22 (</w:t>
            </w:r>
            <w:r w:rsidR="001263CD">
              <w:rPr>
                <w:sz w:val="24"/>
                <w:szCs w:val="24"/>
              </w:rPr>
              <w:t xml:space="preserve">11x </w:t>
            </w:r>
            <w:r w:rsidR="001F58CD">
              <w:rPr>
                <w:sz w:val="24"/>
                <w:szCs w:val="24"/>
              </w:rPr>
              <w:t>for</w:t>
            </w:r>
            <w:r>
              <w:rPr>
                <w:sz w:val="24"/>
                <w:szCs w:val="24"/>
              </w:rPr>
              <w:t xml:space="preserve"> transfer tenants currently under- occupying)</w:t>
            </w:r>
          </w:p>
        </w:tc>
        <w:tc>
          <w:tcPr>
            <w:tcW w:w="2268" w:type="dxa"/>
          </w:tcPr>
          <w:p w14:paraId="17302682" w14:textId="50BF236E" w:rsidR="0002376B" w:rsidRDefault="00CF2CD1" w:rsidP="00CF2CD1">
            <w:pPr>
              <w:pStyle w:val="ListParagraph"/>
              <w:ind w:left="0"/>
              <w:rPr>
                <w:sz w:val="24"/>
                <w:szCs w:val="24"/>
              </w:rPr>
            </w:pPr>
            <w:r>
              <w:rPr>
                <w:sz w:val="24"/>
                <w:szCs w:val="24"/>
              </w:rPr>
              <w:t>9 (</w:t>
            </w:r>
            <w:r w:rsidR="001263CD">
              <w:rPr>
                <w:sz w:val="24"/>
                <w:szCs w:val="24"/>
              </w:rPr>
              <w:t xml:space="preserve">4x </w:t>
            </w:r>
            <w:r>
              <w:rPr>
                <w:sz w:val="24"/>
                <w:szCs w:val="24"/>
              </w:rPr>
              <w:t>for transfer tenants currently under-occupying)</w:t>
            </w:r>
          </w:p>
        </w:tc>
        <w:tc>
          <w:tcPr>
            <w:tcW w:w="851" w:type="dxa"/>
          </w:tcPr>
          <w:p w14:paraId="2D41F5CF" w14:textId="670F6823" w:rsidR="0002376B" w:rsidRPr="00CF2CD1" w:rsidRDefault="00CF2CD1" w:rsidP="00CF2CD1">
            <w:pPr>
              <w:pStyle w:val="ListParagraph"/>
              <w:ind w:left="0"/>
              <w:jc w:val="center"/>
              <w:rPr>
                <w:b/>
                <w:bCs/>
                <w:sz w:val="24"/>
                <w:szCs w:val="24"/>
              </w:rPr>
            </w:pPr>
            <w:r w:rsidRPr="00CF2CD1">
              <w:rPr>
                <w:b/>
                <w:bCs/>
                <w:sz w:val="24"/>
                <w:szCs w:val="24"/>
              </w:rPr>
              <w:t>31</w:t>
            </w:r>
          </w:p>
        </w:tc>
        <w:tc>
          <w:tcPr>
            <w:tcW w:w="283" w:type="dxa"/>
          </w:tcPr>
          <w:p w14:paraId="0DC9AA23" w14:textId="706228DF" w:rsidR="0002376B" w:rsidRPr="00CF2CD1" w:rsidRDefault="00CF2CD1" w:rsidP="0002376B">
            <w:pPr>
              <w:pStyle w:val="ListParagraph"/>
              <w:ind w:left="0"/>
              <w:jc w:val="both"/>
              <w:rPr>
                <w:b/>
                <w:bCs/>
                <w:sz w:val="24"/>
                <w:szCs w:val="24"/>
              </w:rPr>
            </w:pPr>
            <w:r w:rsidRPr="00CF2CD1">
              <w:rPr>
                <w:b/>
                <w:bCs/>
                <w:sz w:val="24"/>
                <w:szCs w:val="24"/>
              </w:rPr>
              <w:t>100%</w:t>
            </w:r>
          </w:p>
        </w:tc>
      </w:tr>
    </w:tbl>
    <w:p w14:paraId="2945563F" w14:textId="77777777" w:rsidR="00BD5C0E" w:rsidRDefault="00BD5C0E" w:rsidP="005066FB">
      <w:pPr>
        <w:rPr>
          <w:sz w:val="24"/>
          <w:szCs w:val="24"/>
        </w:rPr>
      </w:pPr>
    </w:p>
    <w:p w14:paraId="7953CC74" w14:textId="10CA2040" w:rsidR="001445E5" w:rsidRPr="00C33C97" w:rsidRDefault="003A044E" w:rsidP="00C33C97">
      <w:pPr>
        <w:pStyle w:val="ListParagraph"/>
        <w:numPr>
          <w:ilvl w:val="0"/>
          <w:numId w:val="6"/>
        </w:numPr>
        <w:ind w:left="993" w:hanging="284"/>
        <w:rPr>
          <w:sz w:val="24"/>
          <w:szCs w:val="24"/>
        </w:rPr>
      </w:pPr>
      <w:r w:rsidRPr="00C33C97">
        <w:rPr>
          <w:sz w:val="24"/>
          <w:szCs w:val="24"/>
        </w:rPr>
        <w:t>Applicants will be required to provide satisfactory references. If the applicant has held a recent tenancy (within the last 5 years)</w:t>
      </w:r>
      <w:r w:rsidR="00D079FF">
        <w:rPr>
          <w:sz w:val="24"/>
          <w:szCs w:val="24"/>
        </w:rPr>
        <w:t xml:space="preserve">, </w:t>
      </w:r>
      <w:r w:rsidRPr="00C33C97">
        <w:rPr>
          <w:sz w:val="24"/>
          <w:szCs w:val="24"/>
        </w:rPr>
        <w:t xml:space="preserve">one reference should be from their landlord. Any decision not to offer a tenancy </w:t>
      </w:r>
      <w:r w:rsidR="00C121FA">
        <w:rPr>
          <w:sz w:val="24"/>
          <w:szCs w:val="24"/>
        </w:rPr>
        <w:t xml:space="preserve">would be made by Livv Housing Group in line with their own allocations policy and procedures. </w:t>
      </w:r>
    </w:p>
    <w:p w14:paraId="70CE5FB2" w14:textId="77777777" w:rsidR="00B17B6C" w:rsidRPr="00C33C97" w:rsidRDefault="00B17B6C" w:rsidP="00C33C97">
      <w:pPr>
        <w:pStyle w:val="ListParagraph"/>
        <w:rPr>
          <w:sz w:val="24"/>
          <w:szCs w:val="24"/>
        </w:rPr>
      </w:pPr>
    </w:p>
    <w:p w14:paraId="5EA9ADFD" w14:textId="2369A0CA" w:rsidR="00B350F9" w:rsidRPr="00C33C97" w:rsidRDefault="007D14D2" w:rsidP="00C33C97">
      <w:pPr>
        <w:pStyle w:val="ListParagraph"/>
        <w:numPr>
          <w:ilvl w:val="0"/>
          <w:numId w:val="6"/>
        </w:numPr>
        <w:ind w:left="993"/>
        <w:jc w:val="both"/>
        <w:rPr>
          <w:sz w:val="24"/>
          <w:szCs w:val="24"/>
        </w:rPr>
      </w:pPr>
      <w:r w:rsidRPr="00C33C97">
        <w:rPr>
          <w:sz w:val="24"/>
          <w:szCs w:val="24"/>
        </w:rPr>
        <w:t>Where</w:t>
      </w:r>
      <w:r w:rsidR="00ED1F48" w:rsidRPr="00C33C97">
        <w:rPr>
          <w:sz w:val="24"/>
          <w:szCs w:val="24"/>
        </w:rPr>
        <w:t xml:space="preserve"> preference is given to </w:t>
      </w:r>
      <w:r w:rsidR="002762E4" w:rsidRPr="00C33C97">
        <w:rPr>
          <w:sz w:val="24"/>
          <w:szCs w:val="24"/>
        </w:rPr>
        <w:t>current social housing tenants under</w:t>
      </w:r>
      <w:r w:rsidR="001445E5" w:rsidRPr="00C33C97">
        <w:rPr>
          <w:sz w:val="24"/>
          <w:szCs w:val="24"/>
        </w:rPr>
        <w:t xml:space="preserve"> occupying </w:t>
      </w:r>
      <w:r w:rsidR="00886CE0" w:rsidRPr="00C33C97">
        <w:rPr>
          <w:sz w:val="24"/>
          <w:szCs w:val="24"/>
        </w:rPr>
        <w:t xml:space="preserve">their existing property </w:t>
      </w:r>
      <w:r w:rsidR="00C81306" w:rsidRPr="00C33C97">
        <w:rPr>
          <w:sz w:val="24"/>
          <w:szCs w:val="24"/>
        </w:rPr>
        <w:t xml:space="preserve">with a particular housing band, </w:t>
      </w:r>
      <w:r w:rsidRPr="00C33C97">
        <w:rPr>
          <w:sz w:val="24"/>
          <w:szCs w:val="24"/>
        </w:rPr>
        <w:t xml:space="preserve">properties will be </w:t>
      </w:r>
      <w:r w:rsidR="000855A4" w:rsidRPr="00C33C97">
        <w:rPr>
          <w:sz w:val="24"/>
          <w:szCs w:val="24"/>
        </w:rPr>
        <w:t>advertised</w:t>
      </w:r>
      <w:r w:rsidRPr="00C33C97">
        <w:rPr>
          <w:sz w:val="24"/>
          <w:szCs w:val="24"/>
        </w:rPr>
        <w:t xml:space="preserve"> with restrictions to reflect </w:t>
      </w:r>
      <w:r w:rsidR="006B55E1">
        <w:rPr>
          <w:sz w:val="24"/>
          <w:szCs w:val="24"/>
        </w:rPr>
        <w:t xml:space="preserve">the particular </w:t>
      </w:r>
      <w:r w:rsidR="00CA1F5D" w:rsidRPr="00C33C97">
        <w:rPr>
          <w:sz w:val="24"/>
          <w:szCs w:val="24"/>
        </w:rPr>
        <w:t xml:space="preserve">housing band and preference to transfer applicants. The shortlisting officer will exhaust </w:t>
      </w:r>
      <w:r w:rsidR="000855A4" w:rsidRPr="00C33C97">
        <w:rPr>
          <w:sz w:val="24"/>
          <w:szCs w:val="24"/>
        </w:rPr>
        <w:t>the shortlist</w:t>
      </w:r>
      <w:r w:rsidR="00CA1F5D" w:rsidRPr="00C33C97">
        <w:rPr>
          <w:sz w:val="24"/>
          <w:szCs w:val="24"/>
        </w:rPr>
        <w:t xml:space="preserve"> for transfer applicants </w:t>
      </w:r>
      <w:r w:rsidR="000855A4" w:rsidRPr="00C33C97">
        <w:rPr>
          <w:sz w:val="24"/>
          <w:szCs w:val="24"/>
        </w:rPr>
        <w:t xml:space="preserve">to check they are </w:t>
      </w:r>
      <w:r w:rsidR="00BD5C76" w:rsidRPr="00C33C97">
        <w:rPr>
          <w:sz w:val="24"/>
          <w:szCs w:val="24"/>
        </w:rPr>
        <w:t>under occupying</w:t>
      </w:r>
      <w:r w:rsidR="000855A4" w:rsidRPr="00C33C97">
        <w:rPr>
          <w:sz w:val="24"/>
          <w:szCs w:val="24"/>
        </w:rPr>
        <w:t xml:space="preserve"> their current property by either one or two bedrooms. </w:t>
      </w:r>
      <w:r w:rsidR="00A74411">
        <w:rPr>
          <w:sz w:val="24"/>
          <w:szCs w:val="24"/>
        </w:rPr>
        <w:t xml:space="preserve">Priority in the first instance will be given to those who are occupying a four bedroom property and have been identified as under occupying the property. </w:t>
      </w:r>
      <w:r w:rsidR="00473FDD" w:rsidRPr="00C33C97">
        <w:rPr>
          <w:sz w:val="24"/>
          <w:szCs w:val="24"/>
        </w:rPr>
        <w:t xml:space="preserve">In the event that this preference is exhausted </w:t>
      </w:r>
      <w:r w:rsidR="00BD5C76" w:rsidRPr="00C33C97">
        <w:rPr>
          <w:sz w:val="24"/>
          <w:szCs w:val="24"/>
        </w:rPr>
        <w:t>and</w:t>
      </w:r>
      <w:r w:rsidR="00473FDD" w:rsidRPr="00C33C97">
        <w:rPr>
          <w:sz w:val="24"/>
          <w:szCs w:val="24"/>
        </w:rPr>
        <w:t xml:space="preserve"> there are no transfer applicants </w:t>
      </w:r>
      <w:r w:rsidR="005519EC" w:rsidRPr="00C33C97">
        <w:rPr>
          <w:sz w:val="24"/>
          <w:szCs w:val="24"/>
        </w:rPr>
        <w:t xml:space="preserve">who meet the criteria, </w:t>
      </w:r>
      <w:r w:rsidR="00EC7B8D" w:rsidRPr="00C33C97">
        <w:rPr>
          <w:sz w:val="24"/>
          <w:szCs w:val="24"/>
        </w:rPr>
        <w:t xml:space="preserve">the property will be allocated to the </w:t>
      </w:r>
      <w:r w:rsidR="00496412" w:rsidRPr="00C33C97">
        <w:rPr>
          <w:sz w:val="24"/>
          <w:szCs w:val="24"/>
        </w:rPr>
        <w:t>applicant</w:t>
      </w:r>
      <w:r w:rsidR="00EC7B8D" w:rsidRPr="00C33C97">
        <w:rPr>
          <w:sz w:val="24"/>
          <w:szCs w:val="24"/>
        </w:rPr>
        <w:t xml:space="preserve"> with the earliest eligibility date </w:t>
      </w:r>
      <w:r w:rsidR="00496412" w:rsidRPr="00C33C97">
        <w:rPr>
          <w:sz w:val="24"/>
          <w:szCs w:val="24"/>
        </w:rPr>
        <w:t xml:space="preserve">for the particular housing band </w:t>
      </w:r>
      <w:r w:rsidR="00C33C97">
        <w:rPr>
          <w:sz w:val="24"/>
          <w:szCs w:val="24"/>
        </w:rPr>
        <w:t>on the shortlist</w:t>
      </w:r>
      <w:r w:rsidR="00496412" w:rsidRPr="00C33C97">
        <w:rPr>
          <w:sz w:val="24"/>
          <w:szCs w:val="24"/>
        </w:rPr>
        <w:t xml:space="preserve">, which may include non-transfer applicants. </w:t>
      </w:r>
    </w:p>
    <w:p w14:paraId="29DB457D" w14:textId="77777777" w:rsidR="00B17B6C" w:rsidRPr="00C33C97" w:rsidRDefault="00B17B6C" w:rsidP="00C33C97">
      <w:pPr>
        <w:pStyle w:val="ListParagraph"/>
        <w:jc w:val="both"/>
        <w:rPr>
          <w:sz w:val="24"/>
          <w:szCs w:val="24"/>
        </w:rPr>
      </w:pPr>
    </w:p>
    <w:p w14:paraId="5C4A97BE" w14:textId="533614AF" w:rsidR="00D14980" w:rsidRPr="00C33C97" w:rsidRDefault="00FB0472" w:rsidP="00C33C97">
      <w:pPr>
        <w:pStyle w:val="ListParagraph"/>
        <w:numPr>
          <w:ilvl w:val="0"/>
          <w:numId w:val="6"/>
        </w:numPr>
        <w:ind w:left="993"/>
        <w:jc w:val="both"/>
        <w:rPr>
          <w:sz w:val="24"/>
          <w:szCs w:val="24"/>
        </w:rPr>
      </w:pPr>
      <w:r w:rsidRPr="00C33C97">
        <w:rPr>
          <w:sz w:val="24"/>
          <w:szCs w:val="24"/>
        </w:rPr>
        <w:t>In the event that there are no</w:t>
      </w:r>
      <w:r w:rsidR="00AF7DFE" w:rsidRPr="00C33C97">
        <w:rPr>
          <w:sz w:val="24"/>
          <w:szCs w:val="24"/>
        </w:rPr>
        <w:t xml:space="preserve"> </w:t>
      </w:r>
      <w:r w:rsidR="00E57A8E" w:rsidRPr="00C33C97">
        <w:rPr>
          <w:sz w:val="24"/>
          <w:szCs w:val="24"/>
        </w:rPr>
        <w:t>suitable</w:t>
      </w:r>
      <w:r w:rsidR="004262D2" w:rsidRPr="00C33C97">
        <w:rPr>
          <w:sz w:val="24"/>
          <w:szCs w:val="24"/>
        </w:rPr>
        <w:t xml:space="preserve"> applicants on the shortlist with the required housing</w:t>
      </w:r>
      <w:r w:rsidR="00C33C97" w:rsidRPr="00C33C97">
        <w:rPr>
          <w:sz w:val="24"/>
          <w:szCs w:val="24"/>
        </w:rPr>
        <w:t xml:space="preserve"> </w:t>
      </w:r>
      <w:r w:rsidR="006B55E1">
        <w:rPr>
          <w:sz w:val="24"/>
          <w:szCs w:val="24"/>
        </w:rPr>
        <w:t>ban</w:t>
      </w:r>
      <w:r w:rsidR="004262D2" w:rsidRPr="00C33C97">
        <w:rPr>
          <w:sz w:val="24"/>
          <w:szCs w:val="24"/>
        </w:rPr>
        <w:t>d stated on the advert</w:t>
      </w:r>
      <w:r w:rsidR="00E57A8E" w:rsidRPr="00C33C97">
        <w:rPr>
          <w:sz w:val="24"/>
          <w:szCs w:val="24"/>
        </w:rPr>
        <w:t xml:space="preserve">, the property will then be </w:t>
      </w:r>
      <w:r w:rsidR="00792527">
        <w:rPr>
          <w:sz w:val="24"/>
          <w:szCs w:val="24"/>
        </w:rPr>
        <w:t>re-</w:t>
      </w:r>
      <w:r w:rsidR="00E57A8E" w:rsidRPr="00C33C97">
        <w:rPr>
          <w:sz w:val="24"/>
          <w:szCs w:val="24"/>
        </w:rPr>
        <w:t>advertised to all housing bands in line with the Property Pool Plus Allocation Scheme rules.</w:t>
      </w:r>
    </w:p>
    <w:p w14:paraId="5D863FB2" w14:textId="77777777" w:rsidR="00B17B6C" w:rsidRPr="005A7024" w:rsidRDefault="00B17B6C" w:rsidP="00B17B6C">
      <w:pPr>
        <w:pStyle w:val="ListParagraph"/>
        <w:jc w:val="both"/>
      </w:pPr>
    </w:p>
    <w:p w14:paraId="5AC51E2C" w14:textId="76DE333E" w:rsidR="00276D08" w:rsidRPr="00C33C97" w:rsidRDefault="00276D08" w:rsidP="006B55E1">
      <w:pPr>
        <w:ind w:left="426"/>
        <w:jc w:val="both"/>
        <w:rPr>
          <w:rFonts w:cstheme="minorHAnsi"/>
          <w:sz w:val="24"/>
          <w:szCs w:val="24"/>
        </w:rPr>
      </w:pPr>
      <w:r w:rsidRPr="00C33C97">
        <w:rPr>
          <w:rFonts w:cstheme="minorHAnsi"/>
          <w:sz w:val="24"/>
          <w:szCs w:val="24"/>
        </w:rPr>
        <w:t>Property adverts will be staggered over a</w:t>
      </w:r>
      <w:r w:rsidR="00A74411">
        <w:rPr>
          <w:rFonts w:cstheme="minorHAnsi"/>
          <w:sz w:val="24"/>
          <w:szCs w:val="24"/>
        </w:rPr>
        <w:t xml:space="preserve"> period of five weeks with six properties advertised each week. This will allow</w:t>
      </w:r>
      <w:r w:rsidR="00B82475">
        <w:rPr>
          <w:rFonts w:cstheme="minorHAnsi"/>
          <w:sz w:val="24"/>
          <w:szCs w:val="24"/>
        </w:rPr>
        <w:t xml:space="preserve"> </w:t>
      </w:r>
      <w:r w:rsidR="00D14980" w:rsidRPr="00C33C97">
        <w:rPr>
          <w:rFonts w:cstheme="minorHAnsi"/>
          <w:sz w:val="24"/>
          <w:szCs w:val="24"/>
        </w:rPr>
        <w:t xml:space="preserve">Livv Housing Group to shortlist </w:t>
      </w:r>
      <w:r w:rsidR="005D694C" w:rsidRPr="00C33C97">
        <w:rPr>
          <w:rFonts w:cstheme="minorHAnsi"/>
          <w:sz w:val="24"/>
          <w:szCs w:val="24"/>
        </w:rPr>
        <w:t>properties</w:t>
      </w:r>
      <w:r w:rsidR="00D14980" w:rsidRPr="00C33C97">
        <w:rPr>
          <w:rFonts w:cstheme="minorHAnsi"/>
          <w:sz w:val="24"/>
          <w:szCs w:val="24"/>
        </w:rPr>
        <w:t xml:space="preserve"> in line with the local lettings policy and to also provide applicants with multiple opportunities to bid for several </w:t>
      </w:r>
      <w:r w:rsidR="00A57CB7" w:rsidRPr="00C33C97">
        <w:rPr>
          <w:rFonts w:cstheme="minorHAnsi"/>
          <w:sz w:val="24"/>
          <w:szCs w:val="24"/>
        </w:rPr>
        <w:t>homes</w:t>
      </w:r>
      <w:r w:rsidR="00D14980" w:rsidRPr="00C33C97">
        <w:rPr>
          <w:rFonts w:cstheme="minorHAnsi"/>
          <w:sz w:val="24"/>
          <w:szCs w:val="24"/>
        </w:rPr>
        <w:t xml:space="preserve"> within the same development.</w:t>
      </w:r>
    </w:p>
    <w:p w14:paraId="3C71B67A" w14:textId="77777777" w:rsidR="003A044E" w:rsidRPr="00BD4548" w:rsidRDefault="003A044E" w:rsidP="003A044E">
      <w:pPr>
        <w:pStyle w:val="ListParagraph"/>
        <w:rPr>
          <w:rFonts w:cstheme="minorHAnsi"/>
          <w:sz w:val="24"/>
          <w:szCs w:val="24"/>
        </w:rPr>
      </w:pPr>
    </w:p>
    <w:p w14:paraId="71723165" w14:textId="77777777" w:rsidR="003A044E" w:rsidRDefault="003A044E" w:rsidP="003A044E">
      <w:pPr>
        <w:pStyle w:val="ListParagraph"/>
        <w:numPr>
          <w:ilvl w:val="0"/>
          <w:numId w:val="2"/>
        </w:numPr>
        <w:rPr>
          <w:rFonts w:cstheme="minorHAnsi"/>
          <w:b/>
          <w:sz w:val="24"/>
          <w:szCs w:val="24"/>
        </w:rPr>
      </w:pPr>
      <w:r w:rsidRPr="000950DF">
        <w:rPr>
          <w:rFonts w:cstheme="minorHAnsi"/>
          <w:b/>
          <w:sz w:val="24"/>
          <w:szCs w:val="24"/>
        </w:rPr>
        <w:t>Management arrangements</w:t>
      </w:r>
    </w:p>
    <w:p w14:paraId="44DDF00B" w14:textId="77777777" w:rsidR="003A044E" w:rsidRPr="000950DF" w:rsidRDefault="003A044E" w:rsidP="003A044E">
      <w:pPr>
        <w:pStyle w:val="ListParagraph"/>
        <w:rPr>
          <w:rFonts w:cstheme="minorHAnsi"/>
          <w:b/>
          <w:sz w:val="24"/>
          <w:szCs w:val="24"/>
        </w:rPr>
      </w:pPr>
    </w:p>
    <w:p w14:paraId="139CAC54" w14:textId="64830ACD" w:rsidR="003A044E" w:rsidRDefault="003A044E" w:rsidP="005066FB">
      <w:pPr>
        <w:pStyle w:val="ListParagraph"/>
        <w:numPr>
          <w:ilvl w:val="0"/>
          <w:numId w:val="5"/>
        </w:numPr>
        <w:jc w:val="both"/>
        <w:rPr>
          <w:rFonts w:cstheme="minorHAnsi"/>
          <w:sz w:val="24"/>
          <w:szCs w:val="24"/>
        </w:rPr>
      </w:pPr>
      <w:r w:rsidRPr="0059079E">
        <w:rPr>
          <w:rFonts w:cstheme="minorHAnsi"/>
          <w:sz w:val="24"/>
          <w:szCs w:val="24"/>
        </w:rPr>
        <w:t xml:space="preserve">All </w:t>
      </w:r>
      <w:r w:rsidR="001445E5">
        <w:rPr>
          <w:rFonts w:cstheme="minorHAnsi"/>
          <w:sz w:val="24"/>
          <w:szCs w:val="24"/>
        </w:rPr>
        <w:t>applicants who are made a subsequent offer</w:t>
      </w:r>
      <w:r w:rsidRPr="0059079E">
        <w:rPr>
          <w:rFonts w:cstheme="minorHAnsi"/>
          <w:sz w:val="24"/>
          <w:szCs w:val="24"/>
        </w:rPr>
        <w:t xml:space="preserve"> will have a</w:t>
      </w:r>
      <w:r>
        <w:rPr>
          <w:rFonts w:cstheme="minorHAnsi"/>
          <w:sz w:val="24"/>
          <w:szCs w:val="24"/>
        </w:rPr>
        <w:t>n</w:t>
      </w:r>
      <w:r w:rsidRPr="0059079E">
        <w:rPr>
          <w:rFonts w:cstheme="minorHAnsi"/>
          <w:sz w:val="24"/>
          <w:szCs w:val="24"/>
        </w:rPr>
        <w:t xml:space="preserve"> interview and we will complete a financial assessment to ensure that they </w:t>
      </w:r>
      <w:r w:rsidRPr="00E43D43">
        <w:rPr>
          <w:rFonts w:cstheme="minorHAnsi"/>
          <w:sz w:val="24"/>
          <w:szCs w:val="24"/>
        </w:rPr>
        <w:t>are able to sustain the</w:t>
      </w:r>
      <w:r w:rsidRPr="0059079E">
        <w:rPr>
          <w:rFonts w:cstheme="minorHAnsi"/>
          <w:sz w:val="24"/>
          <w:szCs w:val="24"/>
        </w:rPr>
        <w:t xml:space="preserve"> </w:t>
      </w:r>
      <w:r w:rsidRPr="0059079E">
        <w:rPr>
          <w:rFonts w:cstheme="minorHAnsi"/>
          <w:sz w:val="24"/>
          <w:szCs w:val="24"/>
        </w:rPr>
        <w:lastRenderedPageBreak/>
        <w:t xml:space="preserve">tenancy. </w:t>
      </w:r>
      <w:r w:rsidR="001445E5">
        <w:rPr>
          <w:rFonts w:cstheme="minorHAnsi"/>
          <w:sz w:val="24"/>
          <w:szCs w:val="24"/>
        </w:rPr>
        <w:t xml:space="preserve">Successful </w:t>
      </w:r>
      <w:r w:rsidRPr="0059079E">
        <w:rPr>
          <w:rFonts w:cstheme="minorHAnsi"/>
          <w:sz w:val="24"/>
          <w:szCs w:val="24"/>
        </w:rPr>
        <w:t>applicants will have a face to face sign up where the terms of their tenancy agreement will be explained</w:t>
      </w:r>
      <w:r>
        <w:rPr>
          <w:rFonts w:cstheme="minorHAnsi"/>
          <w:sz w:val="24"/>
          <w:szCs w:val="24"/>
        </w:rPr>
        <w:t>.</w:t>
      </w:r>
      <w:r w:rsidRPr="0059079E">
        <w:rPr>
          <w:rFonts w:cstheme="minorHAnsi"/>
          <w:sz w:val="24"/>
          <w:szCs w:val="24"/>
        </w:rPr>
        <w:t xml:space="preserve"> </w:t>
      </w:r>
    </w:p>
    <w:p w14:paraId="11988A55" w14:textId="77777777" w:rsidR="005066FB" w:rsidRPr="005066FB" w:rsidRDefault="005066FB" w:rsidP="005066FB">
      <w:pPr>
        <w:pStyle w:val="ListParagraph"/>
        <w:ind w:left="1080"/>
        <w:jc w:val="both"/>
        <w:rPr>
          <w:rFonts w:cstheme="minorHAnsi"/>
          <w:sz w:val="24"/>
          <w:szCs w:val="24"/>
        </w:rPr>
      </w:pPr>
    </w:p>
    <w:p w14:paraId="1B5C12C2" w14:textId="09661588" w:rsidR="00C75D9A" w:rsidRPr="005066FB" w:rsidRDefault="001445E5" w:rsidP="005066FB">
      <w:pPr>
        <w:pStyle w:val="ListParagraph"/>
        <w:numPr>
          <w:ilvl w:val="0"/>
          <w:numId w:val="5"/>
        </w:numPr>
        <w:rPr>
          <w:rFonts w:cstheme="minorHAnsi"/>
          <w:sz w:val="24"/>
          <w:szCs w:val="24"/>
        </w:rPr>
      </w:pPr>
      <w:r>
        <w:rPr>
          <w:rFonts w:cstheme="minorHAnsi"/>
          <w:sz w:val="24"/>
          <w:szCs w:val="24"/>
        </w:rPr>
        <w:t xml:space="preserve">Successful applicants </w:t>
      </w:r>
      <w:r w:rsidR="003A044E" w:rsidRPr="0059079E">
        <w:rPr>
          <w:rFonts w:cstheme="minorHAnsi"/>
          <w:sz w:val="24"/>
          <w:szCs w:val="24"/>
        </w:rPr>
        <w:t xml:space="preserve">will be required to have a new tenancy visit within the first </w:t>
      </w:r>
      <w:r w:rsidR="003A044E">
        <w:rPr>
          <w:rFonts w:cstheme="minorHAnsi"/>
          <w:sz w:val="24"/>
          <w:szCs w:val="24"/>
        </w:rPr>
        <w:t>month</w:t>
      </w:r>
      <w:r w:rsidR="003A044E" w:rsidRPr="0059079E">
        <w:rPr>
          <w:rFonts w:cstheme="minorHAnsi"/>
          <w:sz w:val="24"/>
          <w:szCs w:val="24"/>
        </w:rPr>
        <w:t xml:space="preserve"> of their tenancy.</w:t>
      </w:r>
    </w:p>
    <w:p w14:paraId="1257D0FA" w14:textId="77777777" w:rsidR="00C75D9A" w:rsidRPr="0059079E" w:rsidRDefault="00C75D9A" w:rsidP="003A044E">
      <w:pPr>
        <w:pStyle w:val="ListParagraph"/>
        <w:ind w:left="1080"/>
        <w:rPr>
          <w:rFonts w:cstheme="minorHAnsi"/>
          <w:sz w:val="24"/>
          <w:szCs w:val="24"/>
        </w:rPr>
      </w:pPr>
    </w:p>
    <w:p w14:paraId="65129557" w14:textId="77777777" w:rsidR="003A044E" w:rsidRPr="00464F10" w:rsidRDefault="003A044E" w:rsidP="003A044E">
      <w:pPr>
        <w:pStyle w:val="ListParagraph"/>
        <w:numPr>
          <w:ilvl w:val="0"/>
          <w:numId w:val="2"/>
        </w:numPr>
        <w:rPr>
          <w:rFonts w:cstheme="minorHAnsi"/>
          <w:b/>
          <w:sz w:val="24"/>
          <w:szCs w:val="24"/>
        </w:rPr>
      </w:pPr>
      <w:r w:rsidRPr="00464F10">
        <w:rPr>
          <w:rFonts w:cstheme="minorHAnsi"/>
          <w:b/>
          <w:sz w:val="24"/>
          <w:szCs w:val="24"/>
        </w:rPr>
        <w:t xml:space="preserve">Consultation </w:t>
      </w:r>
    </w:p>
    <w:p w14:paraId="14F80892" w14:textId="3B4E6C91" w:rsidR="003A044E" w:rsidRDefault="003A044E" w:rsidP="00A57CB7">
      <w:pPr>
        <w:ind w:left="360"/>
        <w:jc w:val="both"/>
        <w:rPr>
          <w:rFonts w:cstheme="minorHAnsi"/>
          <w:sz w:val="24"/>
          <w:szCs w:val="24"/>
        </w:rPr>
      </w:pPr>
      <w:r>
        <w:rPr>
          <w:rFonts w:cstheme="minorHAnsi"/>
          <w:sz w:val="24"/>
          <w:szCs w:val="24"/>
        </w:rPr>
        <w:t>Livv Housing Group has consulted with</w:t>
      </w:r>
      <w:r w:rsidR="00C75D9A">
        <w:rPr>
          <w:rFonts w:cstheme="minorHAnsi"/>
          <w:sz w:val="24"/>
          <w:szCs w:val="24"/>
        </w:rPr>
        <w:t xml:space="preserve"> housing colleagues, </w:t>
      </w:r>
      <w:r w:rsidR="00CF2CD1">
        <w:rPr>
          <w:rFonts w:cstheme="minorHAnsi"/>
          <w:sz w:val="24"/>
          <w:szCs w:val="24"/>
        </w:rPr>
        <w:t>L</w:t>
      </w:r>
      <w:r w:rsidR="00C75D9A">
        <w:rPr>
          <w:rFonts w:cstheme="minorHAnsi"/>
          <w:sz w:val="24"/>
          <w:szCs w:val="24"/>
        </w:rPr>
        <w:t>ocal Councillors</w:t>
      </w:r>
      <w:r>
        <w:rPr>
          <w:rFonts w:cstheme="minorHAnsi"/>
          <w:sz w:val="24"/>
          <w:szCs w:val="24"/>
        </w:rPr>
        <w:t xml:space="preserve"> and Knowsley Borough Council. Consultation will continue throughout the implementation of this policy </w:t>
      </w:r>
      <w:r w:rsidR="00F7234C">
        <w:rPr>
          <w:rFonts w:cstheme="minorHAnsi"/>
          <w:sz w:val="24"/>
          <w:szCs w:val="24"/>
        </w:rPr>
        <w:t xml:space="preserve">with the review of allocations </w:t>
      </w:r>
      <w:r w:rsidR="00F667D2">
        <w:rPr>
          <w:rFonts w:cstheme="minorHAnsi"/>
          <w:sz w:val="24"/>
          <w:szCs w:val="24"/>
        </w:rPr>
        <w:t xml:space="preserve">with </w:t>
      </w:r>
      <w:r w:rsidR="00817C9D">
        <w:rPr>
          <w:rFonts w:cstheme="minorHAnsi"/>
          <w:sz w:val="24"/>
          <w:szCs w:val="24"/>
        </w:rPr>
        <w:t>Knowsley Council to ensure the approach set out in this policy meets the needs of the applicants and existing customers.</w:t>
      </w:r>
      <w:r w:rsidR="00E31D78">
        <w:rPr>
          <w:rFonts w:cstheme="minorHAnsi"/>
          <w:sz w:val="24"/>
          <w:szCs w:val="24"/>
        </w:rPr>
        <w:t xml:space="preserve"> </w:t>
      </w:r>
      <w:r w:rsidR="00916E55">
        <w:rPr>
          <w:rFonts w:cstheme="minorHAnsi"/>
          <w:sz w:val="24"/>
          <w:szCs w:val="24"/>
        </w:rPr>
        <w:t>This will continue throughout the review period.</w:t>
      </w:r>
    </w:p>
    <w:p w14:paraId="0A6D73FA" w14:textId="77777777" w:rsidR="003A044E" w:rsidRDefault="003A044E" w:rsidP="003A044E">
      <w:pPr>
        <w:ind w:left="360"/>
        <w:rPr>
          <w:rFonts w:cstheme="minorHAnsi"/>
          <w:sz w:val="24"/>
          <w:szCs w:val="24"/>
        </w:rPr>
      </w:pPr>
    </w:p>
    <w:p w14:paraId="2406F45F" w14:textId="77777777" w:rsidR="003A044E" w:rsidRPr="00B13003" w:rsidRDefault="003A044E" w:rsidP="003A044E">
      <w:pPr>
        <w:pStyle w:val="ListParagraph"/>
        <w:numPr>
          <w:ilvl w:val="0"/>
          <w:numId w:val="2"/>
        </w:numPr>
        <w:rPr>
          <w:rFonts w:cstheme="minorHAnsi"/>
          <w:b/>
          <w:sz w:val="24"/>
          <w:szCs w:val="24"/>
        </w:rPr>
      </w:pPr>
      <w:r w:rsidRPr="00B13003">
        <w:rPr>
          <w:rFonts w:cstheme="minorHAnsi"/>
          <w:b/>
          <w:sz w:val="24"/>
          <w:szCs w:val="24"/>
        </w:rPr>
        <w:t xml:space="preserve">Risk Management </w:t>
      </w:r>
    </w:p>
    <w:p w14:paraId="39D99CFB" w14:textId="77777777" w:rsidR="003A044E" w:rsidRDefault="003A044E" w:rsidP="003A044E">
      <w:pPr>
        <w:pStyle w:val="ListParagraph"/>
        <w:ind w:left="360"/>
        <w:rPr>
          <w:rFonts w:cstheme="minorHAnsi"/>
          <w:b/>
          <w:sz w:val="24"/>
          <w:szCs w:val="24"/>
        </w:rPr>
      </w:pPr>
    </w:p>
    <w:p w14:paraId="6C68130F" w14:textId="6682B68E" w:rsidR="003A044E" w:rsidRPr="000B01F6" w:rsidRDefault="003A044E" w:rsidP="00A57CB7">
      <w:pPr>
        <w:pStyle w:val="ListParagraph"/>
        <w:ind w:left="360"/>
        <w:jc w:val="both"/>
        <w:rPr>
          <w:rFonts w:cstheme="minorHAnsi"/>
          <w:sz w:val="24"/>
          <w:szCs w:val="24"/>
        </w:rPr>
      </w:pPr>
      <w:r>
        <w:rPr>
          <w:rFonts w:cstheme="minorHAnsi"/>
          <w:sz w:val="24"/>
          <w:szCs w:val="24"/>
        </w:rPr>
        <w:t xml:space="preserve">Failure to </w:t>
      </w:r>
      <w:r w:rsidRPr="000B01F6">
        <w:rPr>
          <w:rFonts w:cstheme="minorHAnsi"/>
          <w:sz w:val="24"/>
          <w:szCs w:val="24"/>
        </w:rPr>
        <w:t xml:space="preserve">implement this policy </w:t>
      </w:r>
      <w:r w:rsidR="00C75D9A">
        <w:rPr>
          <w:rFonts w:cstheme="minorHAnsi"/>
          <w:sz w:val="24"/>
          <w:szCs w:val="24"/>
        </w:rPr>
        <w:t>could</w:t>
      </w:r>
      <w:r w:rsidRPr="000B01F6">
        <w:rPr>
          <w:rFonts w:cstheme="minorHAnsi"/>
          <w:sz w:val="24"/>
          <w:szCs w:val="24"/>
        </w:rPr>
        <w:t xml:space="preserve"> result in the Group being adversely affected by high turnover at these schemes</w:t>
      </w:r>
      <w:r w:rsidR="00C75D9A">
        <w:rPr>
          <w:rFonts w:cstheme="minorHAnsi"/>
          <w:sz w:val="24"/>
          <w:szCs w:val="24"/>
        </w:rPr>
        <w:t xml:space="preserve"> </w:t>
      </w:r>
      <w:r w:rsidR="001C5D00">
        <w:rPr>
          <w:rFonts w:cstheme="minorHAnsi"/>
          <w:sz w:val="24"/>
          <w:szCs w:val="24"/>
        </w:rPr>
        <w:t xml:space="preserve">if homes were let to a high number of younger single people or younger families. The wider scheme is </w:t>
      </w:r>
      <w:r w:rsidR="00C75D9A">
        <w:rPr>
          <w:rFonts w:cstheme="minorHAnsi"/>
          <w:sz w:val="24"/>
          <w:szCs w:val="24"/>
        </w:rPr>
        <w:t>predominantly for older customers with care needs</w:t>
      </w:r>
      <w:r w:rsidR="001C5D00">
        <w:rPr>
          <w:rFonts w:cstheme="minorHAnsi"/>
          <w:sz w:val="24"/>
          <w:szCs w:val="24"/>
        </w:rPr>
        <w:t xml:space="preserve"> and this LLP would provide more sustainability and a sense of community. There is a risk of impact on </w:t>
      </w:r>
      <w:r w:rsidRPr="000B01F6">
        <w:rPr>
          <w:rFonts w:cstheme="minorHAnsi"/>
          <w:sz w:val="24"/>
          <w:szCs w:val="24"/>
        </w:rPr>
        <w:t xml:space="preserve">associated management costs and dissatisfaction from our existing customers. </w:t>
      </w:r>
    </w:p>
    <w:p w14:paraId="6FB02A65" w14:textId="77777777" w:rsidR="003A044E" w:rsidRDefault="003A044E" w:rsidP="003A044E">
      <w:pPr>
        <w:pStyle w:val="ListParagraph"/>
        <w:ind w:left="0"/>
        <w:rPr>
          <w:rFonts w:cstheme="minorHAnsi"/>
          <w:sz w:val="24"/>
          <w:szCs w:val="24"/>
        </w:rPr>
      </w:pPr>
    </w:p>
    <w:p w14:paraId="54575FF3" w14:textId="77777777" w:rsidR="003A044E" w:rsidRPr="000950DF" w:rsidRDefault="003A044E" w:rsidP="003A044E">
      <w:pPr>
        <w:pStyle w:val="ListParagraph"/>
        <w:numPr>
          <w:ilvl w:val="0"/>
          <w:numId w:val="2"/>
        </w:numPr>
        <w:rPr>
          <w:rFonts w:cstheme="minorHAnsi"/>
          <w:sz w:val="24"/>
          <w:szCs w:val="24"/>
        </w:rPr>
      </w:pPr>
      <w:r w:rsidRPr="000950DF">
        <w:rPr>
          <w:rFonts w:cstheme="minorHAnsi"/>
          <w:b/>
          <w:sz w:val="24"/>
          <w:szCs w:val="24"/>
        </w:rPr>
        <w:t xml:space="preserve">Data Protection, Record Storage and Retention </w:t>
      </w:r>
    </w:p>
    <w:p w14:paraId="3708BF79" w14:textId="32E592F9" w:rsidR="003A044E" w:rsidRDefault="003A044E" w:rsidP="00A57CB7">
      <w:pPr>
        <w:ind w:left="360"/>
        <w:jc w:val="both"/>
        <w:rPr>
          <w:rFonts w:cstheme="minorHAnsi"/>
          <w:sz w:val="24"/>
          <w:szCs w:val="24"/>
        </w:rPr>
      </w:pPr>
      <w:r>
        <w:rPr>
          <w:rFonts w:cstheme="minorHAnsi"/>
          <w:sz w:val="24"/>
          <w:szCs w:val="24"/>
        </w:rPr>
        <w:t xml:space="preserve">Data regarding </w:t>
      </w:r>
      <w:r w:rsidR="00A04858">
        <w:rPr>
          <w:rFonts w:cstheme="minorHAnsi"/>
          <w:sz w:val="24"/>
          <w:szCs w:val="24"/>
        </w:rPr>
        <w:t xml:space="preserve">successful applicants </w:t>
      </w:r>
      <w:r>
        <w:rPr>
          <w:rFonts w:cstheme="minorHAnsi"/>
          <w:sz w:val="24"/>
          <w:szCs w:val="24"/>
        </w:rPr>
        <w:t xml:space="preserve">will be stored and managed through our IT systems, CRM, Orchard and Documotive. There are no additional GDPR requirements associated with this policy.  </w:t>
      </w:r>
    </w:p>
    <w:p w14:paraId="65A668C2" w14:textId="77777777" w:rsidR="003A044E" w:rsidRDefault="003A044E" w:rsidP="003A044E">
      <w:pPr>
        <w:ind w:left="360"/>
        <w:rPr>
          <w:rFonts w:cstheme="minorHAnsi"/>
          <w:sz w:val="24"/>
          <w:szCs w:val="24"/>
        </w:rPr>
      </w:pPr>
    </w:p>
    <w:p w14:paraId="3C0DD895" w14:textId="77777777" w:rsidR="003A044E" w:rsidRPr="000950DF" w:rsidRDefault="003A044E" w:rsidP="003A044E">
      <w:pPr>
        <w:pStyle w:val="ListParagraph"/>
        <w:numPr>
          <w:ilvl w:val="0"/>
          <w:numId w:val="2"/>
        </w:numPr>
        <w:rPr>
          <w:rFonts w:cstheme="minorHAnsi"/>
          <w:b/>
          <w:sz w:val="24"/>
          <w:szCs w:val="24"/>
        </w:rPr>
      </w:pPr>
      <w:r w:rsidRPr="000950DF">
        <w:rPr>
          <w:rFonts w:cstheme="minorHAnsi"/>
          <w:b/>
          <w:sz w:val="24"/>
          <w:szCs w:val="24"/>
        </w:rPr>
        <w:t xml:space="preserve">Equality and Diversity  </w:t>
      </w:r>
    </w:p>
    <w:p w14:paraId="4339C4DB" w14:textId="77777777" w:rsidR="006B55E1" w:rsidRDefault="003A044E" w:rsidP="006B55E1">
      <w:pPr>
        <w:autoSpaceDE w:val="0"/>
        <w:autoSpaceDN w:val="0"/>
        <w:adjustRightInd w:val="0"/>
        <w:spacing w:after="0" w:line="240" w:lineRule="auto"/>
        <w:ind w:left="360"/>
        <w:jc w:val="both"/>
        <w:rPr>
          <w:rFonts w:ascii="Calibri" w:hAnsi="Calibri" w:cs="Calibri"/>
          <w:color w:val="000000"/>
          <w:sz w:val="24"/>
          <w:szCs w:val="24"/>
        </w:rPr>
      </w:pPr>
      <w:bookmarkStart w:id="2" w:name="_Hlk527474909"/>
      <w:r w:rsidRPr="00A742A0">
        <w:rPr>
          <w:rFonts w:ascii="Calibri" w:hAnsi="Calibri" w:cs="Calibri"/>
          <w:color w:val="000000"/>
          <w:sz w:val="24"/>
          <w:szCs w:val="24"/>
        </w:rPr>
        <w:t xml:space="preserve">We assess our policies and provision of services to ensure that no individual or group is treated less favourably because of their race, colour, ethnic or national origin, marital status, gender, sexual orientation, disability or age. </w:t>
      </w:r>
    </w:p>
    <w:p w14:paraId="6B386854" w14:textId="77777777" w:rsidR="006B55E1" w:rsidRDefault="006B55E1" w:rsidP="006B55E1">
      <w:pPr>
        <w:autoSpaceDE w:val="0"/>
        <w:autoSpaceDN w:val="0"/>
        <w:adjustRightInd w:val="0"/>
        <w:spacing w:after="0" w:line="240" w:lineRule="auto"/>
        <w:ind w:left="360"/>
        <w:jc w:val="both"/>
        <w:rPr>
          <w:rFonts w:ascii="Calibri" w:hAnsi="Calibri" w:cs="Calibri"/>
          <w:color w:val="000000"/>
          <w:sz w:val="24"/>
          <w:szCs w:val="24"/>
        </w:rPr>
      </w:pPr>
    </w:p>
    <w:p w14:paraId="28213EE3" w14:textId="3A34B37E" w:rsidR="00673677" w:rsidRDefault="00673677" w:rsidP="006B55E1">
      <w:pPr>
        <w:autoSpaceDE w:val="0"/>
        <w:autoSpaceDN w:val="0"/>
        <w:adjustRightInd w:val="0"/>
        <w:spacing w:after="0" w:line="240" w:lineRule="auto"/>
        <w:ind w:left="360"/>
        <w:jc w:val="both"/>
        <w:rPr>
          <w:rFonts w:ascii="Calibri" w:hAnsi="Calibri" w:cs="Calibri"/>
          <w:sz w:val="24"/>
          <w:szCs w:val="24"/>
        </w:rPr>
      </w:pPr>
      <w:r w:rsidRPr="006B55E1">
        <w:rPr>
          <w:rFonts w:ascii="Calibri" w:hAnsi="Calibri" w:cs="Calibri"/>
          <w:sz w:val="24"/>
          <w:szCs w:val="24"/>
        </w:rPr>
        <w:t xml:space="preserve">Livv Housing Group have completed an Equality Impact Assessment in relation to Watchmaker Court, Prescot which is attached in Appendix </w:t>
      </w:r>
      <w:r w:rsidR="00B971BB">
        <w:rPr>
          <w:rFonts w:ascii="Calibri" w:hAnsi="Calibri" w:cs="Calibri"/>
          <w:sz w:val="24"/>
          <w:szCs w:val="24"/>
        </w:rPr>
        <w:t>A</w:t>
      </w:r>
      <w:r w:rsidRPr="006B55E1">
        <w:rPr>
          <w:rFonts w:ascii="Calibri" w:hAnsi="Calibri" w:cs="Calibri"/>
          <w:sz w:val="24"/>
          <w:szCs w:val="24"/>
        </w:rPr>
        <w:t xml:space="preserve">. The  impact of </w:t>
      </w:r>
      <w:r w:rsidR="00B42A4C" w:rsidRPr="006B55E1">
        <w:rPr>
          <w:rFonts w:ascii="Calibri" w:hAnsi="Calibri" w:cs="Calibri"/>
          <w:sz w:val="24"/>
          <w:szCs w:val="24"/>
        </w:rPr>
        <w:t>whic</w:t>
      </w:r>
      <w:r w:rsidR="00150B00">
        <w:rPr>
          <w:rFonts w:ascii="Calibri" w:hAnsi="Calibri" w:cs="Calibri"/>
          <w:sz w:val="24"/>
          <w:szCs w:val="24"/>
        </w:rPr>
        <w:t xml:space="preserve">h </w:t>
      </w:r>
      <w:r w:rsidR="00DA65B2">
        <w:rPr>
          <w:rFonts w:ascii="Calibri" w:hAnsi="Calibri" w:cs="Calibri"/>
          <w:sz w:val="24"/>
          <w:szCs w:val="24"/>
        </w:rPr>
        <w:t>identifies</w:t>
      </w:r>
      <w:r w:rsidR="00A4688C">
        <w:rPr>
          <w:rFonts w:ascii="Calibri" w:hAnsi="Calibri" w:cs="Calibri"/>
          <w:sz w:val="24"/>
          <w:szCs w:val="24"/>
        </w:rPr>
        <w:t xml:space="preserve"> no or low impacts for any protected groups of people.</w:t>
      </w:r>
      <w:r w:rsidR="00150B00">
        <w:rPr>
          <w:rFonts w:ascii="Calibri" w:hAnsi="Calibri" w:cs="Calibri"/>
          <w:sz w:val="24"/>
          <w:szCs w:val="24"/>
        </w:rPr>
        <w:t xml:space="preserve"> </w:t>
      </w:r>
    </w:p>
    <w:p w14:paraId="2FD05EA4" w14:textId="77777777" w:rsidR="00F55623" w:rsidRPr="00A742A0" w:rsidRDefault="00F55623" w:rsidP="006B55E1">
      <w:pPr>
        <w:autoSpaceDE w:val="0"/>
        <w:autoSpaceDN w:val="0"/>
        <w:adjustRightInd w:val="0"/>
        <w:spacing w:after="0" w:line="240" w:lineRule="auto"/>
        <w:ind w:left="360"/>
        <w:jc w:val="both"/>
        <w:rPr>
          <w:rFonts w:ascii="Calibri" w:hAnsi="Calibri" w:cs="Calibri"/>
          <w:color w:val="000000"/>
          <w:sz w:val="24"/>
          <w:szCs w:val="24"/>
        </w:rPr>
      </w:pPr>
    </w:p>
    <w:p w14:paraId="7DCB2A4A" w14:textId="77777777" w:rsidR="003A044E" w:rsidRPr="00A742A0" w:rsidRDefault="003A044E" w:rsidP="003A044E">
      <w:pPr>
        <w:autoSpaceDE w:val="0"/>
        <w:autoSpaceDN w:val="0"/>
        <w:adjustRightInd w:val="0"/>
        <w:spacing w:after="0" w:line="240" w:lineRule="auto"/>
        <w:rPr>
          <w:rFonts w:ascii="Calibri" w:hAnsi="Calibri" w:cs="Calibri"/>
          <w:color w:val="000000"/>
          <w:sz w:val="24"/>
          <w:szCs w:val="24"/>
        </w:rPr>
      </w:pPr>
    </w:p>
    <w:bookmarkEnd w:id="2"/>
    <w:p w14:paraId="1C480F31" w14:textId="77777777" w:rsidR="003A044E" w:rsidRPr="000950DF" w:rsidRDefault="003A044E" w:rsidP="003A044E">
      <w:pPr>
        <w:pStyle w:val="ListParagraph"/>
        <w:numPr>
          <w:ilvl w:val="0"/>
          <w:numId w:val="2"/>
        </w:numPr>
        <w:rPr>
          <w:rFonts w:cstheme="minorHAnsi"/>
          <w:b/>
          <w:sz w:val="24"/>
          <w:szCs w:val="24"/>
        </w:rPr>
      </w:pPr>
      <w:r w:rsidRPr="000950DF">
        <w:rPr>
          <w:rFonts w:cstheme="minorHAnsi"/>
          <w:b/>
          <w:sz w:val="24"/>
          <w:szCs w:val="24"/>
        </w:rPr>
        <w:t xml:space="preserve">Communication </w:t>
      </w:r>
    </w:p>
    <w:p w14:paraId="137B9D26" w14:textId="77777777" w:rsidR="003A044E" w:rsidRDefault="003A044E" w:rsidP="00F07980">
      <w:pPr>
        <w:ind w:firstLine="360"/>
        <w:jc w:val="both"/>
        <w:rPr>
          <w:rFonts w:cstheme="minorHAnsi"/>
          <w:sz w:val="24"/>
          <w:szCs w:val="24"/>
        </w:rPr>
      </w:pPr>
      <w:r>
        <w:rPr>
          <w:rFonts w:cstheme="minorHAnsi"/>
          <w:sz w:val="24"/>
          <w:szCs w:val="24"/>
        </w:rPr>
        <w:t xml:space="preserve">This policy will be communicated with all internal staff and stakeholders. </w:t>
      </w:r>
    </w:p>
    <w:p w14:paraId="08488630" w14:textId="2E24DE04" w:rsidR="003A044E" w:rsidRDefault="003A044E" w:rsidP="00F07980">
      <w:pPr>
        <w:ind w:left="360"/>
        <w:jc w:val="both"/>
        <w:rPr>
          <w:rFonts w:cstheme="minorHAnsi"/>
          <w:sz w:val="24"/>
          <w:szCs w:val="24"/>
        </w:rPr>
      </w:pPr>
      <w:r>
        <w:rPr>
          <w:rFonts w:cstheme="minorHAnsi"/>
          <w:sz w:val="24"/>
          <w:szCs w:val="24"/>
        </w:rPr>
        <w:lastRenderedPageBreak/>
        <w:t>The policy will be available on the Livv Housing Group website and also available to applicants registering through Property Pool Plus choice-based lettings scheme</w:t>
      </w:r>
      <w:r w:rsidR="00CC05D1">
        <w:rPr>
          <w:rFonts w:cstheme="minorHAnsi"/>
          <w:sz w:val="24"/>
          <w:szCs w:val="24"/>
        </w:rPr>
        <w:t xml:space="preserve"> via the Property Pool Plus website</w:t>
      </w:r>
      <w:r w:rsidR="00AD43A7">
        <w:rPr>
          <w:rFonts w:cstheme="minorHAnsi"/>
          <w:sz w:val="24"/>
          <w:szCs w:val="24"/>
        </w:rPr>
        <w:t>.</w:t>
      </w:r>
    </w:p>
    <w:p w14:paraId="047F289A" w14:textId="77777777" w:rsidR="00F55623" w:rsidRDefault="00F55623" w:rsidP="00F07980">
      <w:pPr>
        <w:ind w:left="360"/>
        <w:jc w:val="both"/>
        <w:rPr>
          <w:rFonts w:cstheme="minorHAnsi"/>
          <w:sz w:val="24"/>
          <w:szCs w:val="24"/>
        </w:rPr>
      </w:pPr>
    </w:p>
    <w:p w14:paraId="61508892" w14:textId="77777777" w:rsidR="003A044E" w:rsidRPr="000950DF" w:rsidRDefault="003A044E" w:rsidP="003A044E">
      <w:pPr>
        <w:pStyle w:val="ListParagraph"/>
        <w:numPr>
          <w:ilvl w:val="0"/>
          <w:numId w:val="2"/>
        </w:numPr>
        <w:rPr>
          <w:rFonts w:cstheme="minorHAnsi"/>
          <w:b/>
          <w:sz w:val="24"/>
          <w:szCs w:val="24"/>
        </w:rPr>
      </w:pPr>
      <w:r w:rsidRPr="000950DF">
        <w:rPr>
          <w:rFonts w:cstheme="minorHAnsi"/>
          <w:b/>
          <w:sz w:val="24"/>
          <w:szCs w:val="24"/>
        </w:rPr>
        <w:t>Performance Management and review</w:t>
      </w:r>
    </w:p>
    <w:p w14:paraId="69943E86" w14:textId="77777777" w:rsidR="003A044E" w:rsidRDefault="003A044E" w:rsidP="003A044E">
      <w:pPr>
        <w:pStyle w:val="ListParagraph"/>
        <w:ind w:left="360"/>
        <w:rPr>
          <w:rFonts w:cstheme="minorHAnsi"/>
          <w:sz w:val="24"/>
          <w:szCs w:val="24"/>
        </w:rPr>
      </w:pPr>
    </w:p>
    <w:p w14:paraId="772F93B0" w14:textId="77777777" w:rsidR="003A044E" w:rsidRPr="00E43D43" w:rsidRDefault="003A044E" w:rsidP="003A044E">
      <w:pPr>
        <w:pStyle w:val="ListParagraph"/>
        <w:ind w:left="0" w:firstLine="360"/>
        <w:rPr>
          <w:rFonts w:cstheme="minorHAnsi"/>
          <w:sz w:val="24"/>
          <w:szCs w:val="24"/>
        </w:rPr>
      </w:pPr>
      <w:r w:rsidRPr="00E43D43">
        <w:rPr>
          <w:rFonts w:cstheme="minorHAnsi"/>
          <w:sz w:val="24"/>
          <w:szCs w:val="24"/>
        </w:rPr>
        <w:t>KPIs will be reported including average re-let time, occupancy and void rent loss.</w:t>
      </w:r>
    </w:p>
    <w:p w14:paraId="7741AE30" w14:textId="77777777" w:rsidR="003A044E" w:rsidRPr="00E43D43" w:rsidRDefault="003A044E" w:rsidP="003A044E">
      <w:pPr>
        <w:pStyle w:val="ListParagraph"/>
        <w:ind w:left="0"/>
        <w:rPr>
          <w:rFonts w:cstheme="minorHAnsi"/>
          <w:sz w:val="24"/>
          <w:szCs w:val="24"/>
        </w:rPr>
      </w:pPr>
    </w:p>
    <w:p w14:paraId="2DC44CF7" w14:textId="77777777" w:rsidR="003A044E" w:rsidRPr="00E43D43" w:rsidRDefault="003A044E" w:rsidP="003A044E">
      <w:pPr>
        <w:pStyle w:val="ListParagraph"/>
        <w:ind w:left="0" w:firstLine="360"/>
        <w:rPr>
          <w:rFonts w:cstheme="minorHAnsi"/>
          <w:sz w:val="24"/>
          <w:szCs w:val="24"/>
        </w:rPr>
      </w:pPr>
      <w:r w:rsidRPr="00E43D43">
        <w:rPr>
          <w:rFonts w:cstheme="minorHAnsi"/>
          <w:sz w:val="24"/>
          <w:szCs w:val="24"/>
        </w:rPr>
        <w:t>Specific KPIs will be reported on the voids within this scheme this will include;</w:t>
      </w:r>
    </w:p>
    <w:p w14:paraId="5EC97E5D" w14:textId="77777777" w:rsidR="003A044E" w:rsidRPr="00E43D43" w:rsidRDefault="003A044E" w:rsidP="003A044E">
      <w:pPr>
        <w:pStyle w:val="ListParagraph"/>
        <w:ind w:left="0"/>
        <w:rPr>
          <w:rFonts w:cstheme="minorHAnsi"/>
          <w:sz w:val="24"/>
          <w:szCs w:val="24"/>
        </w:rPr>
      </w:pPr>
    </w:p>
    <w:p w14:paraId="73019F6E" w14:textId="77777777" w:rsidR="003A044E" w:rsidRPr="00E43D43" w:rsidRDefault="003A044E" w:rsidP="003A044E">
      <w:pPr>
        <w:pStyle w:val="ListParagraph"/>
        <w:numPr>
          <w:ilvl w:val="0"/>
          <w:numId w:val="3"/>
        </w:numPr>
        <w:ind w:left="720"/>
        <w:rPr>
          <w:rFonts w:cstheme="minorHAnsi"/>
          <w:sz w:val="24"/>
          <w:szCs w:val="24"/>
        </w:rPr>
      </w:pPr>
      <w:r w:rsidRPr="00E43D43">
        <w:rPr>
          <w:rFonts w:cstheme="minorHAnsi"/>
          <w:sz w:val="24"/>
          <w:szCs w:val="24"/>
        </w:rPr>
        <w:t xml:space="preserve">Turnover </w:t>
      </w:r>
    </w:p>
    <w:p w14:paraId="204E4383" w14:textId="77777777" w:rsidR="003A044E" w:rsidRPr="00E43D43" w:rsidRDefault="003A044E" w:rsidP="003A044E">
      <w:pPr>
        <w:pStyle w:val="ListParagraph"/>
        <w:ind w:left="0"/>
        <w:rPr>
          <w:rFonts w:cstheme="minorHAnsi"/>
          <w:sz w:val="24"/>
          <w:szCs w:val="24"/>
        </w:rPr>
      </w:pPr>
    </w:p>
    <w:p w14:paraId="7580B880" w14:textId="77777777" w:rsidR="003A044E" w:rsidRDefault="003A044E" w:rsidP="003A044E">
      <w:pPr>
        <w:pStyle w:val="ListParagraph"/>
        <w:numPr>
          <w:ilvl w:val="0"/>
          <w:numId w:val="3"/>
        </w:numPr>
        <w:ind w:left="720"/>
        <w:rPr>
          <w:rFonts w:cstheme="minorHAnsi"/>
          <w:sz w:val="24"/>
          <w:szCs w:val="24"/>
        </w:rPr>
      </w:pPr>
      <w:r w:rsidRPr="00E43D43">
        <w:rPr>
          <w:rFonts w:cstheme="minorHAnsi"/>
          <w:sz w:val="24"/>
          <w:szCs w:val="24"/>
        </w:rPr>
        <w:t xml:space="preserve">% of failed tenancies within the first 12 months </w:t>
      </w:r>
    </w:p>
    <w:p w14:paraId="658AAD3B" w14:textId="77777777" w:rsidR="007A5B14" w:rsidRPr="00A74411" w:rsidRDefault="007A5B14" w:rsidP="00A74411">
      <w:pPr>
        <w:pStyle w:val="ListParagraph"/>
        <w:rPr>
          <w:rFonts w:cstheme="minorHAnsi"/>
          <w:sz w:val="24"/>
          <w:szCs w:val="24"/>
        </w:rPr>
      </w:pPr>
    </w:p>
    <w:p w14:paraId="2A60FB05" w14:textId="003B6E49" w:rsidR="007A5B14" w:rsidRPr="00E43D43" w:rsidRDefault="007A5B14" w:rsidP="003A044E">
      <w:pPr>
        <w:pStyle w:val="ListParagraph"/>
        <w:numPr>
          <w:ilvl w:val="0"/>
          <w:numId w:val="3"/>
        </w:numPr>
        <w:ind w:left="720"/>
        <w:rPr>
          <w:rFonts w:cstheme="minorHAnsi"/>
          <w:sz w:val="24"/>
          <w:szCs w:val="24"/>
        </w:rPr>
      </w:pPr>
      <w:r>
        <w:rPr>
          <w:rFonts w:cstheme="minorHAnsi"/>
          <w:sz w:val="24"/>
          <w:szCs w:val="24"/>
        </w:rPr>
        <w:t>No. ASB cases reported</w:t>
      </w:r>
    </w:p>
    <w:p w14:paraId="66330461" w14:textId="77777777" w:rsidR="003A044E" w:rsidRPr="00E43D43" w:rsidRDefault="003A044E" w:rsidP="003A044E">
      <w:pPr>
        <w:pStyle w:val="ListParagraph"/>
        <w:ind w:left="0"/>
        <w:rPr>
          <w:rFonts w:cstheme="minorHAnsi"/>
          <w:sz w:val="24"/>
          <w:szCs w:val="24"/>
        </w:rPr>
      </w:pPr>
    </w:p>
    <w:p w14:paraId="4E3BDD12" w14:textId="77777777" w:rsidR="003A044E" w:rsidRPr="00E43D43" w:rsidRDefault="003A044E" w:rsidP="003A044E">
      <w:pPr>
        <w:pStyle w:val="ListParagraph"/>
        <w:numPr>
          <w:ilvl w:val="0"/>
          <w:numId w:val="3"/>
        </w:numPr>
        <w:ind w:left="720"/>
        <w:rPr>
          <w:rFonts w:cstheme="minorHAnsi"/>
          <w:sz w:val="24"/>
          <w:szCs w:val="24"/>
        </w:rPr>
      </w:pPr>
      <w:r w:rsidRPr="00E43D43">
        <w:rPr>
          <w:rFonts w:cstheme="minorHAnsi"/>
          <w:sz w:val="24"/>
          <w:szCs w:val="24"/>
        </w:rPr>
        <w:t xml:space="preserve">Customer satisfaction  </w:t>
      </w:r>
    </w:p>
    <w:p w14:paraId="699CE197" w14:textId="77777777" w:rsidR="003A044E" w:rsidRPr="00E43D43" w:rsidRDefault="003A044E" w:rsidP="003A044E">
      <w:pPr>
        <w:pStyle w:val="ListParagraph"/>
        <w:ind w:left="360"/>
        <w:rPr>
          <w:rFonts w:cstheme="minorHAnsi"/>
          <w:sz w:val="24"/>
          <w:szCs w:val="24"/>
        </w:rPr>
      </w:pPr>
    </w:p>
    <w:p w14:paraId="428746D5" w14:textId="77777777" w:rsidR="003A044E" w:rsidRPr="00E43D43" w:rsidRDefault="003A044E" w:rsidP="003A044E">
      <w:pPr>
        <w:pStyle w:val="ListParagraph"/>
        <w:numPr>
          <w:ilvl w:val="0"/>
          <w:numId w:val="2"/>
        </w:numPr>
        <w:rPr>
          <w:rFonts w:cstheme="minorHAnsi"/>
          <w:sz w:val="24"/>
          <w:szCs w:val="24"/>
        </w:rPr>
      </w:pPr>
      <w:r w:rsidRPr="00E43D43">
        <w:rPr>
          <w:rFonts w:cstheme="minorHAnsi"/>
          <w:b/>
          <w:sz w:val="24"/>
          <w:szCs w:val="24"/>
        </w:rPr>
        <w:t>Review of this Policy</w:t>
      </w:r>
      <w:r w:rsidRPr="00E43D43">
        <w:rPr>
          <w:rFonts w:cstheme="minorHAnsi"/>
          <w:sz w:val="24"/>
          <w:szCs w:val="24"/>
        </w:rPr>
        <w:t xml:space="preserve"> </w:t>
      </w:r>
    </w:p>
    <w:p w14:paraId="5AB51F36" w14:textId="44962B3A" w:rsidR="004613E9" w:rsidRDefault="003A044E" w:rsidP="003A044E">
      <w:pPr>
        <w:ind w:left="360"/>
        <w:rPr>
          <w:rFonts w:cstheme="minorHAnsi"/>
          <w:sz w:val="24"/>
          <w:szCs w:val="24"/>
        </w:rPr>
      </w:pPr>
      <w:r w:rsidRPr="00E43D43">
        <w:rPr>
          <w:rFonts w:cstheme="minorHAnsi"/>
          <w:sz w:val="24"/>
          <w:szCs w:val="24"/>
        </w:rPr>
        <w:t>This policy will be reviewed after 6 months following implementation.</w:t>
      </w:r>
      <w:r w:rsidR="004613E9">
        <w:rPr>
          <w:rFonts w:cstheme="minorHAnsi"/>
          <w:sz w:val="24"/>
          <w:szCs w:val="24"/>
        </w:rPr>
        <w:br w:type="page"/>
      </w:r>
    </w:p>
    <w:p w14:paraId="3E37C351" w14:textId="77777777" w:rsidR="003D7C82" w:rsidRPr="003D7C82" w:rsidRDefault="003D7C82" w:rsidP="003D7C82">
      <w:r w:rsidRPr="003D7C82">
        <w:lastRenderedPageBreak/>
        <w:t xml:space="preserve">Appendix A – Equality Impact Assessment </w:t>
      </w:r>
    </w:p>
    <w:p w14:paraId="52620D4B" w14:textId="4D2C7956" w:rsidR="003D7C82" w:rsidRPr="003A5F38" w:rsidRDefault="003D7C82" w:rsidP="003D7C82">
      <w:pPr>
        <w:rPr>
          <w:b/>
          <w:bCs/>
          <w:u w:val="single"/>
        </w:rPr>
      </w:pPr>
      <w:r>
        <w:rPr>
          <w:b/>
          <w:bCs/>
          <w:u w:val="single"/>
        </w:rPr>
        <w:t xml:space="preserve">New </w:t>
      </w:r>
      <w:r w:rsidRPr="004E6E69">
        <w:rPr>
          <w:b/>
          <w:bCs/>
          <w:u w:val="single"/>
        </w:rPr>
        <w:t>Equality Impact Assessment Questions and Considerations</w:t>
      </w:r>
    </w:p>
    <w:p w14:paraId="16A4E42B" w14:textId="77777777" w:rsidR="003D7C82" w:rsidRDefault="003D7C82" w:rsidP="003D7C82">
      <w:pPr>
        <w:jc w:val="both"/>
      </w:pPr>
      <w:r>
        <w:t xml:space="preserve">Please do not attempt to complete this document without first considering the Equality Impact Assessment Toolkit. If you have any further questions or need any clarification, please contact the EDI Manager for information. </w:t>
      </w:r>
    </w:p>
    <w:p w14:paraId="4ED20B01" w14:textId="77777777" w:rsidR="003D7C82" w:rsidRDefault="003D7C82" w:rsidP="003D7C82">
      <w:pPr>
        <w:jc w:val="both"/>
      </w:pPr>
      <w:r w:rsidRPr="00C04858">
        <w:t xml:space="preserve">We use the term ‘policy’ as shorthand on this form for the full range of policies, </w:t>
      </w:r>
      <w:r>
        <w:t>strategies</w:t>
      </w:r>
      <w:r w:rsidRPr="00C04858">
        <w:t xml:space="preserve"> and procedures.  </w:t>
      </w:r>
      <w:r>
        <w:t>We use the term ‘people’ on this form in relation to colleagues, customers, stakeholders and partners.</w:t>
      </w:r>
    </w:p>
    <w:p w14:paraId="6AFD06D8" w14:textId="77777777" w:rsidR="003D7C82" w:rsidRPr="00920AEB" w:rsidRDefault="003D7C82" w:rsidP="003D7C82">
      <w:pPr>
        <w:spacing w:after="0" w:line="240" w:lineRule="auto"/>
        <w:jc w:val="both"/>
        <w:rPr>
          <w:rFonts w:ascii="Calibri" w:eastAsia="Times New Roman" w:hAnsi="Calibri" w:cs="Calibri"/>
          <w:lang w:eastAsia="en-GB"/>
        </w:rPr>
      </w:pPr>
      <w:r>
        <w:rPr>
          <w:rFonts w:ascii="Calibri" w:eastAsia="Times New Roman" w:hAnsi="Calibri" w:cs="Calibri"/>
          <w:lang w:eastAsia="en-GB"/>
        </w:rPr>
        <w:t>All policies should;</w:t>
      </w:r>
    </w:p>
    <w:p w14:paraId="07FC7260" w14:textId="77777777" w:rsidR="003D7C82" w:rsidRPr="00920AEB" w:rsidRDefault="003D7C82" w:rsidP="003D7C82">
      <w:pPr>
        <w:numPr>
          <w:ilvl w:val="0"/>
          <w:numId w:val="7"/>
        </w:numPr>
        <w:spacing w:after="0" w:line="240" w:lineRule="auto"/>
        <w:jc w:val="both"/>
        <w:textAlignment w:val="center"/>
        <w:rPr>
          <w:rFonts w:ascii="Calibri" w:eastAsia="Times New Roman" w:hAnsi="Calibri" w:cs="Calibri"/>
          <w:lang w:eastAsia="en-GB"/>
        </w:rPr>
      </w:pPr>
      <w:r w:rsidRPr="00920AEB">
        <w:rPr>
          <w:rFonts w:ascii="Calibri" w:eastAsia="Times New Roman" w:hAnsi="Calibri" w:cs="Calibri"/>
          <w:lang w:eastAsia="en-GB"/>
        </w:rPr>
        <w:t>Remove or minimise disadvantages suffered by people due to their protected characteristics</w:t>
      </w:r>
    </w:p>
    <w:p w14:paraId="7ABC818C" w14:textId="77777777" w:rsidR="003D7C82" w:rsidRPr="00920AEB" w:rsidRDefault="003D7C82" w:rsidP="003D7C82">
      <w:pPr>
        <w:numPr>
          <w:ilvl w:val="0"/>
          <w:numId w:val="7"/>
        </w:numPr>
        <w:spacing w:after="0" w:line="240" w:lineRule="auto"/>
        <w:jc w:val="both"/>
        <w:textAlignment w:val="center"/>
        <w:rPr>
          <w:rFonts w:ascii="Calibri" w:eastAsia="Times New Roman" w:hAnsi="Calibri" w:cs="Calibri"/>
          <w:lang w:eastAsia="en-GB"/>
        </w:rPr>
      </w:pPr>
      <w:r w:rsidRPr="00920AEB">
        <w:rPr>
          <w:rFonts w:ascii="Calibri" w:eastAsia="Times New Roman" w:hAnsi="Calibri" w:cs="Calibri"/>
          <w:lang w:eastAsia="en-GB"/>
        </w:rPr>
        <w:t>Take steps to meet the needs of people with certain protected characteristics where these are different from the needs of others</w:t>
      </w:r>
    </w:p>
    <w:p w14:paraId="2CC2CC4D" w14:textId="77777777" w:rsidR="003D7C82" w:rsidRDefault="003D7C82" w:rsidP="003D7C82">
      <w:pPr>
        <w:numPr>
          <w:ilvl w:val="0"/>
          <w:numId w:val="7"/>
        </w:numPr>
        <w:spacing w:after="0" w:line="240" w:lineRule="auto"/>
        <w:jc w:val="both"/>
        <w:textAlignment w:val="center"/>
        <w:rPr>
          <w:rFonts w:ascii="Calibri" w:eastAsia="Times New Roman" w:hAnsi="Calibri" w:cs="Calibri"/>
          <w:lang w:eastAsia="en-GB"/>
        </w:rPr>
      </w:pPr>
      <w:r w:rsidRPr="00920AEB">
        <w:rPr>
          <w:rFonts w:ascii="Calibri" w:eastAsia="Times New Roman" w:hAnsi="Calibri" w:cs="Calibri"/>
          <w:lang w:eastAsia="en-GB"/>
        </w:rPr>
        <w:t>Encourage people who share a relevant protected characteristic to participate in public life or in other activities where their participation is disproportionately low</w:t>
      </w:r>
    </w:p>
    <w:p w14:paraId="482463F0" w14:textId="77777777" w:rsidR="003D7C82" w:rsidRPr="00920AEB" w:rsidRDefault="003D7C82" w:rsidP="003D7C82">
      <w:pPr>
        <w:numPr>
          <w:ilvl w:val="0"/>
          <w:numId w:val="7"/>
        </w:numPr>
        <w:spacing w:after="0" w:line="240" w:lineRule="auto"/>
        <w:jc w:val="both"/>
        <w:textAlignment w:val="center"/>
        <w:rPr>
          <w:rFonts w:ascii="Calibri" w:eastAsia="Times New Roman" w:hAnsi="Calibri" w:cs="Calibri"/>
          <w:lang w:eastAsia="en-GB"/>
        </w:rPr>
      </w:pPr>
      <w:r>
        <w:rPr>
          <w:rFonts w:ascii="Calibri" w:eastAsia="Times New Roman" w:hAnsi="Calibri" w:cs="Calibri"/>
          <w:lang w:eastAsia="en-GB"/>
        </w:rPr>
        <w:t>Fo</w:t>
      </w:r>
      <w:r w:rsidRPr="00920AEB">
        <w:rPr>
          <w:rFonts w:ascii="Calibri" w:eastAsia="Times New Roman" w:hAnsi="Calibri" w:cs="Calibri"/>
          <w:lang w:eastAsia="en-GB"/>
        </w:rPr>
        <w:t>ster good relations between people who share a characteristic and those who do not. This involves having regard to the need to tackle prejudice and promote understanding</w:t>
      </w:r>
    </w:p>
    <w:p w14:paraId="371AD058" w14:textId="77777777" w:rsidR="003D7C82" w:rsidRDefault="003D7C82" w:rsidP="003D7C82">
      <w:r>
        <w:rPr>
          <w:b/>
          <w:bCs/>
          <w:u w:val="single"/>
        </w:rPr>
        <w:br/>
        <w:t>Details</w:t>
      </w:r>
    </w:p>
    <w:tbl>
      <w:tblPr>
        <w:tblStyle w:val="TableGrid"/>
        <w:tblW w:w="0" w:type="auto"/>
        <w:tblLook w:val="04A0" w:firstRow="1" w:lastRow="0" w:firstColumn="1" w:lastColumn="0" w:noHBand="0" w:noVBand="1"/>
      </w:tblPr>
      <w:tblGrid>
        <w:gridCol w:w="2122"/>
        <w:gridCol w:w="6894"/>
      </w:tblGrid>
      <w:tr w:rsidR="003D7C82" w14:paraId="75D4623E" w14:textId="77777777" w:rsidTr="00B0780E">
        <w:tc>
          <w:tcPr>
            <w:tcW w:w="2122" w:type="dxa"/>
          </w:tcPr>
          <w:p w14:paraId="1AB797DD" w14:textId="77777777" w:rsidR="003D7C82" w:rsidRPr="00283BAC" w:rsidRDefault="003D7C82" w:rsidP="00B0780E">
            <w:pPr>
              <w:rPr>
                <w:rFonts w:ascii="Franklin Gothic Book" w:hAnsi="Franklin Gothic Book"/>
                <w:sz w:val="24"/>
                <w:szCs w:val="24"/>
              </w:rPr>
            </w:pPr>
            <w:r w:rsidRPr="00283BAC">
              <w:rPr>
                <w:rFonts w:ascii="Franklin Gothic Book" w:hAnsi="Franklin Gothic Book"/>
                <w:sz w:val="24"/>
                <w:szCs w:val="24"/>
              </w:rPr>
              <w:t>Policy Title</w:t>
            </w:r>
          </w:p>
        </w:tc>
        <w:tc>
          <w:tcPr>
            <w:tcW w:w="6894" w:type="dxa"/>
          </w:tcPr>
          <w:p w14:paraId="1049AF3D" w14:textId="77777777" w:rsidR="003D7C82" w:rsidRDefault="003D7C82" w:rsidP="00B0780E">
            <w:r>
              <w:t>Local Lettings Policy</w:t>
            </w:r>
          </w:p>
        </w:tc>
      </w:tr>
      <w:tr w:rsidR="003D7C82" w14:paraId="2D9E51E4" w14:textId="77777777" w:rsidTr="00B0780E">
        <w:tc>
          <w:tcPr>
            <w:tcW w:w="2122" w:type="dxa"/>
          </w:tcPr>
          <w:p w14:paraId="6FC9CF5E" w14:textId="77777777" w:rsidR="003D7C82" w:rsidRPr="00283BAC" w:rsidRDefault="003D7C82" w:rsidP="00B0780E">
            <w:pPr>
              <w:rPr>
                <w:rFonts w:ascii="Franklin Gothic Book" w:hAnsi="Franklin Gothic Book"/>
                <w:sz w:val="24"/>
                <w:szCs w:val="24"/>
              </w:rPr>
            </w:pPr>
            <w:r w:rsidRPr="00283BAC">
              <w:rPr>
                <w:rFonts w:ascii="Franklin Gothic Book" w:hAnsi="Franklin Gothic Book"/>
                <w:sz w:val="24"/>
                <w:szCs w:val="24"/>
              </w:rPr>
              <w:t>New or review</w:t>
            </w:r>
          </w:p>
        </w:tc>
        <w:tc>
          <w:tcPr>
            <w:tcW w:w="6894" w:type="dxa"/>
          </w:tcPr>
          <w:p w14:paraId="2C254A40" w14:textId="77777777" w:rsidR="003D7C82" w:rsidRDefault="003D7C82" w:rsidP="00B0780E">
            <w:r>
              <w:t>New</w:t>
            </w:r>
          </w:p>
        </w:tc>
      </w:tr>
      <w:tr w:rsidR="003D7C82" w14:paraId="51DEF1EA" w14:textId="77777777" w:rsidTr="00B0780E">
        <w:tc>
          <w:tcPr>
            <w:tcW w:w="2122" w:type="dxa"/>
          </w:tcPr>
          <w:p w14:paraId="2DB86D19" w14:textId="77777777" w:rsidR="003D7C82" w:rsidRPr="007B3F76" w:rsidRDefault="003D7C82" w:rsidP="00B0780E">
            <w:pPr>
              <w:rPr>
                <w:rFonts w:ascii="Franklin Gothic Book" w:hAnsi="Franklin Gothic Book"/>
                <w:sz w:val="24"/>
                <w:szCs w:val="24"/>
              </w:rPr>
            </w:pPr>
            <w:r w:rsidRPr="007B3F76">
              <w:rPr>
                <w:rFonts w:ascii="Franklin Gothic Book" w:hAnsi="Franklin Gothic Book"/>
                <w:sz w:val="24"/>
                <w:szCs w:val="24"/>
              </w:rPr>
              <w:t>The main aims and objectives.</w:t>
            </w:r>
          </w:p>
          <w:p w14:paraId="173E26AF" w14:textId="77777777" w:rsidR="003D7C82" w:rsidRPr="007B3F76" w:rsidRDefault="003D7C82" w:rsidP="00B0780E">
            <w:pPr>
              <w:rPr>
                <w:rFonts w:ascii="Franklin Gothic Book" w:hAnsi="Franklin Gothic Book"/>
                <w:sz w:val="24"/>
                <w:szCs w:val="24"/>
              </w:rPr>
            </w:pPr>
            <w:r w:rsidRPr="007B3F76">
              <w:rPr>
                <w:rFonts w:ascii="Franklin Gothic Book" w:hAnsi="Franklin Gothic Book"/>
                <w:sz w:val="24"/>
                <w:szCs w:val="24"/>
              </w:rPr>
              <w:t>Consider:</w:t>
            </w:r>
          </w:p>
          <w:p w14:paraId="465ECFCE" w14:textId="77777777" w:rsidR="003D7C82" w:rsidRDefault="003D7C82" w:rsidP="00B0780E">
            <w:r w:rsidRPr="007B3F76">
              <w:rPr>
                <w:rFonts w:ascii="Franklin Gothic Book" w:hAnsi="Franklin Gothic Book"/>
                <w:b/>
                <w:sz w:val="24"/>
                <w:szCs w:val="24"/>
              </w:rPr>
              <w:t>What</w:t>
            </w:r>
            <w:r w:rsidRPr="007B3F76">
              <w:rPr>
                <w:rFonts w:ascii="Franklin Gothic Book" w:hAnsi="Franklin Gothic Book"/>
                <w:sz w:val="24"/>
                <w:szCs w:val="24"/>
              </w:rPr>
              <w:t xml:space="preserve"> </w:t>
            </w:r>
            <w:proofErr w:type="gramStart"/>
            <w:r w:rsidRPr="007B3F76">
              <w:rPr>
                <w:rFonts w:ascii="Franklin Gothic Book" w:hAnsi="Franklin Gothic Book"/>
                <w:sz w:val="24"/>
                <w:szCs w:val="24"/>
              </w:rPr>
              <w:t>you are</w:t>
            </w:r>
            <w:proofErr w:type="gramEnd"/>
            <w:r w:rsidRPr="007B3F76">
              <w:rPr>
                <w:rFonts w:ascii="Franklin Gothic Book" w:hAnsi="Franklin Gothic Book"/>
                <w:sz w:val="24"/>
                <w:szCs w:val="24"/>
              </w:rPr>
              <w:t xml:space="preserve"> doing</w:t>
            </w:r>
            <w:r>
              <w:rPr>
                <w:rFonts w:ascii="Franklin Gothic Book" w:hAnsi="Franklin Gothic Book"/>
                <w:sz w:val="24"/>
                <w:szCs w:val="24"/>
              </w:rPr>
              <w:t>?</w:t>
            </w:r>
          </w:p>
        </w:tc>
        <w:tc>
          <w:tcPr>
            <w:tcW w:w="6894" w:type="dxa"/>
          </w:tcPr>
          <w:p w14:paraId="3E56EF92" w14:textId="77777777" w:rsidR="003D7C82" w:rsidRPr="00974A20" w:rsidRDefault="003D7C82" w:rsidP="00B0780E">
            <w:r>
              <w:t>All c</w:t>
            </w:r>
            <w:r w:rsidRPr="00974A20">
              <w:t xml:space="preserve">ustomers will benefit, as the policy clearly sets out what service they can expect as well as how they can access it. </w:t>
            </w:r>
          </w:p>
          <w:p w14:paraId="283196CC" w14:textId="77777777" w:rsidR="003D7C82" w:rsidRPr="00974A20" w:rsidRDefault="003D7C82" w:rsidP="00B0780E"/>
          <w:p w14:paraId="1172D306" w14:textId="77777777" w:rsidR="003D7C82" w:rsidRPr="004D2F35" w:rsidRDefault="003D7C82" w:rsidP="00B0780E">
            <w:pPr>
              <w:rPr>
                <w:rFonts w:cs="Arial"/>
              </w:rPr>
            </w:pPr>
            <w:bookmarkStart w:id="3" w:name="_Hlk157521730"/>
            <w:r w:rsidRPr="005F0D45">
              <w:rPr>
                <w:rFonts w:cs="Arial"/>
              </w:rPr>
              <w:t xml:space="preserve">The purpose of this policy is to set out our approach to </w:t>
            </w:r>
            <w:bookmarkEnd w:id="3"/>
            <w:r>
              <w:rPr>
                <w:sz w:val="24"/>
                <w:szCs w:val="24"/>
              </w:rPr>
              <w:t xml:space="preserve">allocating our affordable housing to meet local housing need. The aims of this policy are to ensure that the new homes we develop support the national housing crisis, support local housing need and also contribute to the overall viability and sustainability of the area. It is crucial that we ensure tenancies are sustained and that these have a positive impact on the local area. </w:t>
            </w:r>
          </w:p>
          <w:p w14:paraId="7D164885" w14:textId="77777777" w:rsidR="003D7C82" w:rsidRDefault="003D7C82" w:rsidP="00B0780E"/>
          <w:p w14:paraId="5AE9111F" w14:textId="575437B6" w:rsidR="003D7C82" w:rsidRDefault="003D7C82" w:rsidP="00B0780E">
            <w:r>
              <w:t>We have consulted with local customers, local Councillors and colleagues.</w:t>
            </w:r>
            <w:r w:rsidR="00A90130">
              <w:t xml:space="preserve"> It was agreed that allocating to older customers would support a community feel alongside the extra care customers in the rest of the scheme.</w:t>
            </w:r>
          </w:p>
          <w:p w14:paraId="3A42C760" w14:textId="77777777" w:rsidR="003D7C82" w:rsidRDefault="003D7C82" w:rsidP="00B0780E"/>
          <w:p w14:paraId="2EE7840B" w14:textId="77777777" w:rsidR="003D7C82" w:rsidRDefault="003D7C82" w:rsidP="00B0780E"/>
          <w:p w14:paraId="02C16F7E" w14:textId="77777777" w:rsidR="003D7C82" w:rsidRDefault="003D7C82" w:rsidP="00B0780E"/>
        </w:tc>
      </w:tr>
      <w:tr w:rsidR="003D7C82" w14:paraId="7D41C4AB" w14:textId="77777777" w:rsidTr="00B0780E">
        <w:tc>
          <w:tcPr>
            <w:tcW w:w="2122" w:type="dxa"/>
          </w:tcPr>
          <w:p w14:paraId="70F3803D" w14:textId="77777777" w:rsidR="003D7C82" w:rsidRDefault="003D7C82" w:rsidP="00B0780E">
            <w:pPr>
              <w:rPr>
                <w:rFonts w:ascii="Franklin Gothic Book" w:hAnsi="Franklin Gothic Book"/>
                <w:sz w:val="24"/>
                <w:szCs w:val="24"/>
              </w:rPr>
            </w:pPr>
            <w:r>
              <w:rPr>
                <w:rFonts w:ascii="Franklin Gothic Book" w:hAnsi="Franklin Gothic Book"/>
                <w:b/>
                <w:sz w:val="24"/>
                <w:szCs w:val="24"/>
              </w:rPr>
              <w:t>W</w:t>
            </w:r>
            <w:r w:rsidRPr="007B3F76">
              <w:rPr>
                <w:rFonts w:ascii="Franklin Gothic Book" w:hAnsi="Franklin Gothic Book"/>
                <w:b/>
                <w:sz w:val="24"/>
                <w:szCs w:val="24"/>
              </w:rPr>
              <w:t>hy</w:t>
            </w:r>
            <w:r w:rsidRPr="007B3F76">
              <w:rPr>
                <w:rFonts w:ascii="Franklin Gothic Book" w:hAnsi="Franklin Gothic Book"/>
                <w:sz w:val="24"/>
                <w:szCs w:val="24"/>
              </w:rPr>
              <w:t xml:space="preserve"> </w:t>
            </w:r>
            <w:proofErr w:type="gramStart"/>
            <w:r w:rsidRPr="007B3F76">
              <w:rPr>
                <w:rFonts w:ascii="Franklin Gothic Book" w:hAnsi="Franklin Gothic Book"/>
                <w:sz w:val="24"/>
                <w:szCs w:val="24"/>
              </w:rPr>
              <w:t>you are</w:t>
            </w:r>
            <w:proofErr w:type="gramEnd"/>
            <w:r w:rsidRPr="007B3F76">
              <w:rPr>
                <w:rFonts w:ascii="Franklin Gothic Book" w:hAnsi="Franklin Gothic Book"/>
                <w:sz w:val="24"/>
                <w:szCs w:val="24"/>
              </w:rPr>
              <w:t xml:space="preserve"> doing it?</w:t>
            </w:r>
          </w:p>
          <w:p w14:paraId="488B9A06" w14:textId="77777777" w:rsidR="003D7C82" w:rsidRDefault="003D7C82" w:rsidP="00B0780E"/>
        </w:tc>
        <w:tc>
          <w:tcPr>
            <w:tcW w:w="6894" w:type="dxa"/>
          </w:tcPr>
          <w:p w14:paraId="06FF5B4F" w14:textId="7EEFBADC" w:rsidR="00273E8E" w:rsidRDefault="00273E8E" w:rsidP="00B0780E">
            <w:pPr>
              <w:rPr>
                <w:sz w:val="24"/>
                <w:szCs w:val="24"/>
              </w:rPr>
            </w:pPr>
          </w:p>
          <w:p w14:paraId="2EA0A761" w14:textId="57B64845" w:rsidR="003D7C82" w:rsidRDefault="003D7C82" w:rsidP="00B0780E">
            <w:pPr>
              <w:rPr>
                <w:sz w:val="24"/>
                <w:szCs w:val="24"/>
              </w:rPr>
            </w:pPr>
            <w:r>
              <w:rPr>
                <w:rFonts w:cstheme="minorHAnsi"/>
                <w:bCs/>
                <w:sz w:val="24"/>
                <w:szCs w:val="24"/>
              </w:rPr>
              <w:t xml:space="preserve">As at May 2024, </w:t>
            </w:r>
            <w:r>
              <w:rPr>
                <w:sz w:val="24"/>
                <w:szCs w:val="24"/>
              </w:rPr>
              <w:t xml:space="preserve">there are currently circa 628 active applicants aged 50 and over who are eligible for a home (within Bands A -C priority need bands) on Property Pool Plus within the Knowsley sub region. </w:t>
            </w:r>
          </w:p>
          <w:p w14:paraId="64420DDA" w14:textId="77777777" w:rsidR="003D7C82" w:rsidRDefault="003D7C82" w:rsidP="00B0780E">
            <w:pPr>
              <w:rPr>
                <w:sz w:val="24"/>
                <w:szCs w:val="24"/>
              </w:rPr>
            </w:pPr>
          </w:p>
          <w:p w14:paraId="551A4753" w14:textId="77777777" w:rsidR="003D7C82" w:rsidRDefault="003D7C82" w:rsidP="00B0780E">
            <w:pPr>
              <w:jc w:val="both"/>
              <w:rPr>
                <w:sz w:val="24"/>
                <w:szCs w:val="24"/>
              </w:rPr>
            </w:pPr>
            <w:r>
              <w:rPr>
                <w:sz w:val="24"/>
                <w:szCs w:val="24"/>
              </w:rPr>
              <w:t xml:space="preserve">To meet housing need and to ensure that we are achieving a sustainable mix of customers living at Watchmaker Court, the </w:t>
            </w:r>
            <w:r>
              <w:rPr>
                <w:sz w:val="24"/>
                <w:szCs w:val="24"/>
              </w:rPr>
              <w:lastRenderedPageBreak/>
              <w:t xml:space="preserve">allocations will be split with a % in each band that is reflective of the overall demand within that band.  </w:t>
            </w:r>
          </w:p>
          <w:p w14:paraId="6C2F20E7" w14:textId="77777777" w:rsidR="003D7C82" w:rsidRDefault="003D7C82" w:rsidP="00B0780E">
            <w:pPr>
              <w:jc w:val="both"/>
              <w:rPr>
                <w:sz w:val="24"/>
                <w:szCs w:val="24"/>
              </w:rPr>
            </w:pPr>
            <w:r>
              <w:rPr>
                <w:sz w:val="24"/>
                <w:szCs w:val="24"/>
              </w:rPr>
              <w:t xml:space="preserve">We will allocate these apartments to applicants over age of 50. This is to create a sustainable community as all other apartments within The Watchfactory Phase Two development are for Extra Care applicants who have been allocated a property via the Extra Care Housing Panel. </w:t>
            </w:r>
          </w:p>
          <w:p w14:paraId="670E3161" w14:textId="77777777" w:rsidR="003D7C82" w:rsidRDefault="003D7C82" w:rsidP="00B0780E">
            <w:pPr>
              <w:rPr>
                <w:sz w:val="24"/>
                <w:szCs w:val="24"/>
              </w:rPr>
            </w:pPr>
            <w:r>
              <w:rPr>
                <w:sz w:val="24"/>
                <w:szCs w:val="24"/>
              </w:rPr>
              <w:t>This will also support with our approach to make the best use of our homes and with Knowsley Borough Council’s aim to ‘right size’ homes across the borough, making more, larger family homes available to meet demand. As of May 2024, there are current circa 143 current social housing tenants who are under occupying their current property by either one or two bedrooms.</w:t>
            </w:r>
          </w:p>
          <w:p w14:paraId="20C677E7" w14:textId="78F2ACFC" w:rsidR="000D585A" w:rsidRDefault="000D585A" w:rsidP="00B0780E">
            <w:pPr>
              <w:rPr>
                <w:sz w:val="24"/>
                <w:szCs w:val="24"/>
              </w:rPr>
            </w:pPr>
            <w:r w:rsidRPr="000D585A">
              <w:rPr>
                <w:sz w:val="24"/>
                <w:szCs w:val="24"/>
              </w:rPr>
              <w:t>Funding for this development requires accommodation to be ringfenced for this age group.</w:t>
            </w:r>
          </w:p>
          <w:p w14:paraId="4A518329" w14:textId="4FD40673" w:rsidR="000D585A" w:rsidRPr="000D585A" w:rsidRDefault="000D585A" w:rsidP="00B0780E">
            <w:pPr>
              <w:rPr>
                <w:sz w:val="24"/>
                <w:szCs w:val="24"/>
              </w:rPr>
            </w:pPr>
            <w:r>
              <w:rPr>
                <w:sz w:val="24"/>
                <w:szCs w:val="24"/>
              </w:rPr>
              <w:t>Applicants under 50 will be affected but will be able to bid for other homes on PPP.</w:t>
            </w:r>
          </w:p>
          <w:p w14:paraId="268952FF" w14:textId="77777777" w:rsidR="003D7C82" w:rsidRDefault="003D7C82" w:rsidP="00B0780E"/>
        </w:tc>
      </w:tr>
      <w:tr w:rsidR="003D7C82" w14:paraId="45F784D9" w14:textId="77777777" w:rsidTr="00B0780E">
        <w:tc>
          <w:tcPr>
            <w:tcW w:w="2122" w:type="dxa"/>
          </w:tcPr>
          <w:p w14:paraId="5F22D1A0" w14:textId="77777777" w:rsidR="003D7C82" w:rsidRPr="00734FBA" w:rsidRDefault="003D7C82" w:rsidP="00B0780E">
            <w:pPr>
              <w:rPr>
                <w:rFonts w:ascii="Franklin Gothic Book" w:hAnsi="Franklin Gothic Book"/>
                <w:b/>
                <w:sz w:val="24"/>
                <w:szCs w:val="24"/>
              </w:rPr>
            </w:pPr>
            <w:r w:rsidRPr="001D10E1">
              <w:rPr>
                <w:rFonts w:ascii="Franklin Gothic Book" w:hAnsi="Franklin Gothic Book"/>
                <w:b/>
                <w:sz w:val="24"/>
                <w:szCs w:val="24"/>
              </w:rPr>
              <w:lastRenderedPageBreak/>
              <w:t xml:space="preserve">Who </w:t>
            </w:r>
            <w:r w:rsidRPr="001D10E1">
              <w:rPr>
                <w:rFonts w:ascii="Franklin Gothic Book" w:hAnsi="Franklin Gothic Book"/>
                <w:bCs/>
                <w:sz w:val="24"/>
                <w:szCs w:val="24"/>
              </w:rPr>
              <w:t>will be impacted by the policy in terms of customers, colleagues or partners</w:t>
            </w:r>
            <w:r w:rsidRPr="001D10E1">
              <w:rPr>
                <w:rFonts w:ascii="Franklin Gothic Book" w:hAnsi="Franklin Gothic Book"/>
                <w:b/>
                <w:sz w:val="24"/>
                <w:szCs w:val="24"/>
              </w:rPr>
              <w:t>?</w:t>
            </w:r>
          </w:p>
        </w:tc>
        <w:tc>
          <w:tcPr>
            <w:tcW w:w="6894" w:type="dxa"/>
          </w:tcPr>
          <w:p w14:paraId="55D0CA8E" w14:textId="77777777" w:rsidR="003D7C82" w:rsidRDefault="003D7C82" w:rsidP="00B0780E">
            <w:r>
              <w:t>Applicants and existing customers</w:t>
            </w:r>
          </w:p>
        </w:tc>
      </w:tr>
      <w:tr w:rsidR="003D7C82" w14:paraId="2F5771B3" w14:textId="77777777" w:rsidTr="00B0780E">
        <w:tc>
          <w:tcPr>
            <w:tcW w:w="2122" w:type="dxa"/>
          </w:tcPr>
          <w:p w14:paraId="43B05BD0" w14:textId="77777777" w:rsidR="003D7C82" w:rsidRDefault="003D7C82" w:rsidP="00B0780E">
            <w:pPr>
              <w:rPr>
                <w:rFonts w:ascii="Franklin Gothic Book" w:hAnsi="Franklin Gothic Book"/>
                <w:sz w:val="24"/>
                <w:szCs w:val="24"/>
              </w:rPr>
            </w:pPr>
            <w:r w:rsidRPr="007B3F76">
              <w:rPr>
                <w:rFonts w:ascii="Franklin Gothic Book" w:hAnsi="Franklin Gothic Book"/>
                <w:b/>
                <w:sz w:val="24"/>
                <w:szCs w:val="24"/>
              </w:rPr>
              <w:t>Who</w:t>
            </w:r>
            <w:r w:rsidRPr="007B3F76">
              <w:rPr>
                <w:rFonts w:ascii="Franklin Gothic Book" w:hAnsi="Franklin Gothic Book"/>
                <w:sz w:val="24"/>
                <w:szCs w:val="24"/>
              </w:rPr>
              <w:t xml:space="preserve"> will benefit?</w:t>
            </w:r>
          </w:p>
          <w:p w14:paraId="5FBF1260" w14:textId="77777777" w:rsidR="003D7C82" w:rsidRDefault="003D7C82" w:rsidP="00B0780E"/>
        </w:tc>
        <w:tc>
          <w:tcPr>
            <w:tcW w:w="6894" w:type="dxa"/>
          </w:tcPr>
          <w:p w14:paraId="4030E895" w14:textId="69D2ED94" w:rsidR="003D7C82" w:rsidRDefault="003D7C82" w:rsidP="00B0780E">
            <w:r>
              <w:t xml:space="preserve">Applicants and existing customers, specifically people </w:t>
            </w:r>
            <w:r w:rsidR="00B7217E">
              <w:t xml:space="preserve">over the age of 50 who </w:t>
            </w:r>
            <w:r w:rsidR="002C6997">
              <w:t xml:space="preserve">require more suitable housing to meet their needs and people </w:t>
            </w:r>
            <w:r>
              <w:t xml:space="preserve">currently under-occupying who are financially impacted. </w:t>
            </w:r>
          </w:p>
        </w:tc>
      </w:tr>
      <w:tr w:rsidR="003D7C82" w14:paraId="36766DE3" w14:textId="77777777" w:rsidTr="00B0780E">
        <w:tc>
          <w:tcPr>
            <w:tcW w:w="2122" w:type="dxa"/>
          </w:tcPr>
          <w:p w14:paraId="48B1A423" w14:textId="77777777" w:rsidR="003D7C82" w:rsidRDefault="003D7C82" w:rsidP="00B0780E">
            <w:r>
              <w:t>Author</w:t>
            </w:r>
          </w:p>
        </w:tc>
        <w:tc>
          <w:tcPr>
            <w:tcW w:w="6894" w:type="dxa"/>
          </w:tcPr>
          <w:p w14:paraId="61F2B0D3" w14:textId="77777777" w:rsidR="003D7C82" w:rsidRDefault="003D7C82" w:rsidP="00B0780E">
            <w:r>
              <w:t>Director of Customer Relationship Management</w:t>
            </w:r>
          </w:p>
        </w:tc>
      </w:tr>
      <w:tr w:rsidR="003D7C82" w14:paraId="5D7044BC" w14:textId="77777777" w:rsidTr="00B0780E">
        <w:tc>
          <w:tcPr>
            <w:tcW w:w="2122" w:type="dxa"/>
          </w:tcPr>
          <w:p w14:paraId="78627221" w14:textId="77777777" w:rsidR="003D7C82" w:rsidRDefault="003D7C82" w:rsidP="00B0780E">
            <w:r>
              <w:t>Date</w:t>
            </w:r>
          </w:p>
        </w:tc>
        <w:tc>
          <w:tcPr>
            <w:tcW w:w="6894" w:type="dxa"/>
          </w:tcPr>
          <w:p w14:paraId="73C165EE" w14:textId="77777777" w:rsidR="003D7C82" w:rsidRDefault="003D7C82" w:rsidP="00B0780E">
            <w:r>
              <w:t>16/05/24</w:t>
            </w:r>
          </w:p>
        </w:tc>
      </w:tr>
    </w:tbl>
    <w:p w14:paraId="3709C214" w14:textId="77777777" w:rsidR="003D7C82" w:rsidRPr="003A5F38" w:rsidRDefault="003D7C82" w:rsidP="003D7C82"/>
    <w:p w14:paraId="0C6754AE" w14:textId="77777777" w:rsidR="003D7C82" w:rsidRDefault="003D7C82" w:rsidP="003D7C82">
      <w:pPr>
        <w:rPr>
          <w:b/>
          <w:bCs/>
          <w:u w:val="single"/>
        </w:rPr>
      </w:pPr>
      <w:r>
        <w:rPr>
          <w:b/>
          <w:bCs/>
          <w:u w:val="single"/>
        </w:rPr>
        <w:t>Test for Relevance</w:t>
      </w:r>
    </w:p>
    <w:p w14:paraId="732861C3" w14:textId="77777777" w:rsidR="003D7C82" w:rsidRDefault="003D7C82" w:rsidP="003D7C82">
      <w:r>
        <w:t>Does the policy affect people?</w:t>
      </w:r>
    </w:p>
    <w:p w14:paraId="6F3B6BC6" w14:textId="77777777" w:rsidR="003D7C82" w:rsidRDefault="003D7C82" w:rsidP="003D7C82">
      <w:r>
        <w:t>If yes, is there a potential that the way in which the policy affects different people will be unequal, inequitable or unfair in any way?</w:t>
      </w:r>
    </w:p>
    <w:p w14:paraId="55A28789" w14:textId="77777777" w:rsidR="003D7C82" w:rsidRDefault="003D7C82" w:rsidP="003D7C82">
      <w:r>
        <w:t xml:space="preserve">If yes, a full equality analysis should be completed below. If no, you do not need to complete a full </w:t>
      </w:r>
      <w:proofErr w:type="gramStart"/>
      <w:r>
        <w:t>EQIA</w:t>
      </w:r>
      <w:proofErr w:type="gramEnd"/>
      <w:r>
        <w:t xml:space="preserve"> but you must provide your reasoning here with sign off from your line manager;</w:t>
      </w:r>
    </w:p>
    <w:tbl>
      <w:tblPr>
        <w:tblStyle w:val="TableGrid"/>
        <w:tblW w:w="0" w:type="auto"/>
        <w:tblLook w:val="04A0" w:firstRow="1" w:lastRow="0" w:firstColumn="1" w:lastColumn="0" w:noHBand="0" w:noVBand="1"/>
      </w:tblPr>
      <w:tblGrid>
        <w:gridCol w:w="4508"/>
        <w:gridCol w:w="4508"/>
      </w:tblGrid>
      <w:tr w:rsidR="003D7C82" w14:paraId="29940758" w14:textId="77777777" w:rsidTr="00B0780E">
        <w:tc>
          <w:tcPr>
            <w:tcW w:w="9016" w:type="dxa"/>
            <w:gridSpan w:val="2"/>
          </w:tcPr>
          <w:p w14:paraId="57366F4E" w14:textId="77777777" w:rsidR="003D7C82" w:rsidRDefault="003D7C82" w:rsidP="00B0780E"/>
          <w:p w14:paraId="5E58E9B0" w14:textId="5108EFBD" w:rsidR="003D7C82" w:rsidRDefault="002C6997" w:rsidP="00B0780E">
            <w:r>
              <w:t>N/a</w:t>
            </w:r>
          </w:p>
          <w:p w14:paraId="1409E36D" w14:textId="77777777" w:rsidR="003D7C82" w:rsidRDefault="003D7C82" w:rsidP="00B0780E"/>
          <w:p w14:paraId="5A6681F2" w14:textId="77777777" w:rsidR="003D7C82" w:rsidRDefault="003D7C82" w:rsidP="00B0780E"/>
        </w:tc>
      </w:tr>
      <w:tr w:rsidR="003D7C82" w14:paraId="251F8B70" w14:textId="77777777" w:rsidTr="00B0780E">
        <w:tc>
          <w:tcPr>
            <w:tcW w:w="4508" w:type="dxa"/>
          </w:tcPr>
          <w:p w14:paraId="2EEA7A0F" w14:textId="77777777" w:rsidR="003D7C82" w:rsidRPr="003A5F38" w:rsidRDefault="003D7C82" w:rsidP="00B0780E">
            <w:pPr>
              <w:rPr>
                <w:b/>
                <w:bCs/>
              </w:rPr>
            </w:pPr>
            <w:r>
              <w:rPr>
                <w:b/>
                <w:bCs/>
              </w:rPr>
              <w:t xml:space="preserve">Approving Manager: </w:t>
            </w:r>
          </w:p>
        </w:tc>
        <w:tc>
          <w:tcPr>
            <w:tcW w:w="4508" w:type="dxa"/>
          </w:tcPr>
          <w:p w14:paraId="7459690A" w14:textId="77777777" w:rsidR="003D7C82" w:rsidRDefault="003D7C82" w:rsidP="00B0780E">
            <w:r>
              <w:rPr>
                <w:b/>
                <w:bCs/>
              </w:rPr>
              <w:t>Signature:</w:t>
            </w:r>
          </w:p>
        </w:tc>
      </w:tr>
    </w:tbl>
    <w:p w14:paraId="46350341" w14:textId="77777777" w:rsidR="003D7C82" w:rsidRDefault="003D7C82" w:rsidP="003D7C82"/>
    <w:p w14:paraId="7ACABDF6" w14:textId="77777777" w:rsidR="003D7C82" w:rsidRPr="00734FBA" w:rsidRDefault="003D7C82" w:rsidP="003D7C82">
      <w:pPr>
        <w:rPr>
          <w:b/>
          <w:bCs/>
          <w:u w:val="single"/>
        </w:rPr>
      </w:pPr>
      <w:r w:rsidRPr="00734FBA">
        <w:rPr>
          <w:b/>
          <w:bCs/>
          <w:u w:val="single"/>
        </w:rPr>
        <w:t>Full EQIA</w:t>
      </w:r>
    </w:p>
    <w:p w14:paraId="4EE66F0B" w14:textId="7C4CC38D" w:rsidR="003D7C82" w:rsidRPr="007C116F" w:rsidRDefault="003D7C82" w:rsidP="003D7C82">
      <w:pPr>
        <w:rPr>
          <w:b/>
          <w:bCs/>
        </w:rPr>
      </w:pPr>
      <w:r>
        <w:rPr>
          <w:b/>
          <w:bCs/>
        </w:rPr>
        <w:lastRenderedPageBreak/>
        <w:t>Impact assessment as per characteristic.</w:t>
      </w:r>
      <w:r>
        <w:rPr>
          <w:b/>
          <w:bCs/>
        </w:rPr>
        <w:br/>
      </w:r>
      <w:r>
        <w:t xml:space="preserve">For assistance with completing this section of the form please refer to the Equality Analysis guidance and in particular Appendix 1. </w:t>
      </w:r>
      <w:r>
        <w:rPr>
          <w:b/>
          <w:bCs/>
        </w:rPr>
        <w:tab/>
      </w:r>
    </w:p>
    <w:tbl>
      <w:tblPr>
        <w:tblStyle w:val="TableGrid"/>
        <w:tblW w:w="0" w:type="auto"/>
        <w:tblLook w:val="04A0" w:firstRow="1" w:lastRow="0" w:firstColumn="1" w:lastColumn="0" w:noHBand="0" w:noVBand="1"/>
      </w:tblPr>
      <w:tblGrid>
        <w:gridCol w:w="1980"/>
        <w:gridCol w:w="1276"/>
        <w:gridCol w:w="1252"/>
        <w:gridCol w:w="1441"/>
        <w:gridCol w:w="3067"/>
      </w:tblGrid>
      <w:tr w:rsidR="00CE1A30" w14:paraId="2EBFC8F4" w14:textId="77777777" w:rsidTr="00B0780E">
        <w:tc>
          <w:tcPr>
            <w:tcW w:w="1980" w:type="dxa"/>
            <w:shd w:val="clear" w:color="auto" w:fill="D9E2F3" w:themeFill="accent1" w:themeFillTint="33"/>
          </w:tcPr>
          <w:p w14:paraId="793EC964" w14:textId="77777777" w:rsidR="003D7C82" w:rsidRDefault="003D7C82" w:rsidP="00B0780E">
            <w:r>
              <w:t>Protected Characteristic or group</w:t>
            </w:r>
          </w:p>
        </w:tc>
        <w:tc>
          <w:tcPr>
            <w:tcW w:w="1276" w:type="dxa"/>
            <w:shd w:val="clear" w:color="auto" w:fill="D9E2F3" w:themeFill="accent1" w:themeFillTint="33"/>
          </w:tcPr>
          <w:p w14:paraId="78C0FDB5" w14:textId="77777777" w:rsidR="003D7C82" w:rsidRDefault="003D7C82" w:rsidP="00B0780E">
            <w:r>
              <w:t>Impact;</w:t>
            </w:r>
          </w:p>
          <w:p w14:paraId="1ED1F6AD" w14:textId="77777777" w:rsidR="003D7C82" w:rsidRDefault="003D7C82" w:rsidP="00B0780E">
            <w:r>
              <w:t>Positive, negative or neutral</w:t>
            </w:r>
          </w:p>
        </w:tc>
        <w:tc>
          <w:tcPr>
            <w:tcW w:w="2693" w:type="dxa"/>
            <w:gridSpan w:val="2"/>
            <w:shd w:val="clear" w:color="auto" w:fill="D9E2F3" w:themeFill="accent1" w:themeFillTint="33"/>
          </w:tcPr>
          <w:p w14:paraId="77F1104E" w14:textId="77777777" w:rsidR="003D7C82" w:rsidRDefault="003D7C82" w:rsidP="00B0780E">
            <w:r>
              <w:t>Details of the impact and considerations given</w:t>
            </w:r>
          </w:p>
        </w:tc>
        <w:tc>
          <w:tcPr>
            <w:tcW w:w="3067" w:type="dxa"/>
            <w:shd w:val="clear" w:color="auto" w:fill="D9E2F3" w:themeFill="accent1" w:themeFillTint="33"/>
          </w:tcPr>
          <w:p w14:paraId="760B68C8" w14:textId="77777777" w:rsidR="003D7C82" w:rsidRDefault="003D7C82" w:rsidP="00B0780E">
            <w:r>
              <w:t>Action plan to address inequalities as to impact</w:t>
            </w:r>
          </w:p>
        </w:tc>
      </w:tr>
      <w:tr w:rsidR="00CE1A30" w14:paraId="2BE09774" w14:textId="77777777" w:rsidTr="00B0780E">
        <w:tc>
          <w:tcPr>
            <w:tcW w:w="1980" w:type="dxa"/>
            <w:shd w:val="clear" w:color="auto" w:fill="D9E2F3" w:themeFill="accent1" w:themeFillTint="33"/>
          </w:tcPr>
          <w:p w14:paraId="0E8CFBB4" w14:textId="77777777" w:rsidR="003D7C82" w:rsidRDefault="003D7C82" w:rsidP="00B0780E">
            <w:r>
              <w:t>Disability and mental wellbeing</w:t>
            </w:r>
          </w:p>
        </w:tc>
        <w:tc>
          <w:tcPr>
            <w:tcW w:w="1276" w:type="dxa"/>
          </w:tcPr>
          <w:p w14:paraId="51A0F1AB" w14:textId="08586F94" w:rsidR="003D7C82" w:rsidRDefault="005D5C9B" w:rsidP="00B0780E">
            <w:r>
              <w:t>Positive</w:t>
            </w:r>
          </w:p>
        </w:tc>
        <w:tc>
          <w:tcPr>
            <w:tcW w:w="2693" w:type="dxa"/>
            <w:gridSpan w:val="2"/>
          </w:tcPr>
          <w:p w14:paraId="26641FB0" w14:textId="425F2094" w:rsidR="003D7C82" w:rsidRDefault="003D7C82" w:rsidP="00B0780E">
            <w:r>
              <w:t>Potential applicants may have additional challenges in accessing suitable homes</w:t>
            </w:r>
            <w:r w:rsidR="00111208">
              <w:t xml:space="preserve"> within the borough.</w:t>
            </w:r>
          </w:p>
        </w:tc>
        <w:tc>
          <w:tcPr>
            <w:tcW w:w="3067" w:type="dxa"/>
          </w:tcPr>
          <w:p w14:paraId="6A20725C" w14:textId="759BC65B" w:rsidR="003D7C82" w:rsidRDefault="003D7C82" w:rsidP="00B0780E">
            <w:r>
              <w:t xml:space="preserve">By allocating to a specific band and age group, we are targeting these homes to those with greatest need of that accommodation type. </w:t>
            </w:r>
            <w:r w:rsidR="00111208">
              <w:t>As individuals get older, they are more likely to acquire a disability and require suitable housing.</w:t>
            </w:r>
          </w:p>
          <w:p w14:paraId="79D021F0" w14:textId="77777777" w:rsidR="003D7C82" w:rsidRDefault="003D7C82" w:rsidP="00B0780E">
            <w:r>
              <w:t>We have specialist teams who talk customers through the process at the start of their tenancy and throughout and ensure any reasonable adjustments are made to meet their needs.</w:t>
            </w:r>
          </w:p>
          <w:p w14:paraId="40B2F151" w14:textId="77777777" w:rsidR="003D7C82" w:rsidRDefault="003D7C82" w:rsidP="00B0780E">
            <w:r>
              <w:t xml:space="preserve">We regularly provide financial wellbeing information via </w:t>
            </w:r>
            <w:proofErr w:type="spellStart"/>
            <w:r>
              <w:t>Livving</w:t>
            </w:r>
            <w:proofErr w:type="spellEnd"/>
            <w:r>
              <w:t xml:space="preserve"> magazine and social media.</w:t>
            </w:r>
          </w:p>
        </w:tc>
      </w:tr>
      <w:tr w:rsidR="00CE1A30" w14:paraId="664BE57D" w14:textId="77777777" w:rsidTr="00B0780E">
        <w:tc>
          <w:tcPr>
            <w:tcW w:w="1980" w:type="dxa"/>
            <w:shd w:val="clear" w:color="auto" w:fill="D9E2F3" w:themeFill="accent1" w:themeFillTint="33"/>
          </w:tcPr>
          <w:p w14:paraId="621F0D9D" w14:textId="77777777" w:rsidR="003D7C82" w:rsidRDefault="003D7C82" w:rsidP="00B0780E">
            <w:r>
              <w:t>Sex</w:t>
            </w:r>
          </w:p>
        </w:tc>
        <w:tc>
          <w:tcPr>
            <w:tcW w:w="1276" w:type="dxa"/>
          </w:tcPr>
          <w:p w14:paraId="5C5A1D05" w14:textId="77777777" w:rsidR="003D7C82" w:rsidRDefault="003D7C82" w:rsidP="00B0780E">
            <w:r>
              <w:t>neutral</w:t>
            </w:r>
          </w:p>
        </w:tc>
        <w:tc>
          <w:tcPr>
            <w:tcW w:w="2693" w:type="dxa"/>
            <w:gridSpan w:val="2"/>
          </w:tcPr>
          <w:p w14:paraId="0818329E" w14:textId="77777777" w:rsidR="003D7C82" w:rsidRDefault="003D7C82" w:rsidP="00B0780E">
            <w:r>
              <w:t>All customers have equal access to services and support.</w:t>
            </w:r>
          </w:p>
        </w:tc>
        <w:tc>
          <w:tcPr>
            <w:tcW w:w="3067" w:type="dxa"/>
          </w:tcPr>
          <w:p w14:paraId="235A9D29" w14:textId="77777777" w:rsidR="003D7C82" w:rsidRDefault="003D7C82" w:rsidP="00B0780E"/>
        </w:tc>
      </w:tr>
      <w:tr w:rsidR="00CE1A30" w14:paraId="26A7BDCF" w14:textId="77777777" w:rsidTr="00B0780E">
        <w:tc>
          <w:tcPr>
            <w:tcW w:w="1980" w:type="dxa"/>
            <w:shd w:val="clear" w:color="auto" w:fill="D9E2F3" w:themeFill="accent1" w:themeFillTint="33"/>
          </w:tcPr>
          <w:p w14:paraId="08AFE413" w14:textId="77777777" w:rsidR="003D7C82" w:rsidRDefault="003D7C82" w:rsidP="00B0780E">
            <w:r>
              <w:t>Sexual Orientation</w:t>
            </w:r>
          </w:p>
        </w:tc>
        <w:tc>
          <w:tcPr>
            <w:tcW w:w="1276" w:type="dxa"/>
          </w:tcPr>
          <w:p w14:paraId="5ECD6373" w14:textId="77777777" w:rsidR="003D7C82" w:rsidRDefault="003D7C82" w:rsidP="00B0780E">
            <w:r>
              <w:t>neutral</w:t>
            </w:r>
          </w:p>
        </w:tc>
        <w:tc>
          <w:tcPr>
            <w:tcW w:w="2693" w:type="dxa"/>
            <w:gridSpan w:val="2"/>
          </w:tcPr>
          <w:p w14:paraId="086D159D" w14:textId="77777777" w:rsidR="003D7C82" w:rsidRDefault="003D7C82" w:rsidP="00B0780E">
            <w:r>
              <w:t>All customers have equal access to services and support.</w:t>
            </w:r>
          </w:p>
        </w:tc>
        <w:tc>
          <w:tcPr>
            <w:tcW w:w="3067" w:type="dxa"/>
          </w:tcPr>
          <w:p w14:paraId="5BE2CB8D" w14:textId="77777777" w:rsidR="003D7C82" w:rsidRDefault="003D7C82" w:rsidP="00B0780E"/>
        </w:tc>
      </w:tr>
      <w:tr w:rsidR="00CE1A30" w14:paraId="7E200723" w14:textId="77777777" w:rsidTr="00B0780E">
        <w:tc>
          <w:tcPr>
            <w:tcW w:w="1980" w:type="dxa"/>
            <w:shd w:val="clear" w:color="auto" w:fill="D9E2F3" w:themeFill="accent1" w:themeFillTint="33"/>
          </w:tcPr>
          <w:p w14:paraId="0C298306" w14:textId="77777777" w:rsidR="003D7C82" w:rsidRDefault="003D7C82" w:rsidP="00B0780E">
            <w:r>
              <w:t>Gender reassignment</w:t>
            </w:r>
          </w:p>
        </w:tc>
        <w:tc>
          <w:tcPr>
            <w:tcW w:w="1276" w:type="dxa"/>
          </w:tcPr>
          <w:p w14:paraId="2F9421F9" w14:textId="77777777" w:rsidR="003D7C82" w:rsidRDefault="003D7C82" w:rsidP="00B0780E">
            <w:r>
              <w:t>neutral</w:t>
            </w:r>
          </w:p>
        </w:tc>
        <w:tc>
          <w:tcPr>
            <w:tcW w:w="2693" w:type="dxa"/>
            <w:gridSpan w:val="2"/>
          </w:tcPr>
          <w:p w14:paraId="60E8080D" w14:textId="77777777" w:rsidR="003D7C82" w:rsidRDefault="003D7C82" w:rsidP="00B0780E">
            <w:r>
              <w:t>All customers have equal access to services and support.</w:t>
            </w:r>
          </w:p>
        </w:tc>
        <w:tc>
          <w:tcPr>
            <w:tcW w:w="3067" w:type="dxa"/>
          </w:tcPr>
          <w:p w14:paraId="4089B636" w14:textId="77777777" w:rsidR="003D7C82" w:rsidRDefault="003D7C82" w:rsidP="00B0780E"/>
        </w:tc>
      </w:tr>
      <w:tr w:rsidR="00CE1A30" w14:paraId="5DF1B520" w14:textId="77777777" w:rsidTr="00B0780E">
        <w:tc>
          <w:tcPr>
            <w:tcW w:w="1980" w:type="dxa"/>
            <w:shd w:val="clear" w:color="auto" w:fill="D9E2F3" w:themeFill="accent1" w:themeFillTint="33"/>
          </w:tcPr>
          <w:p w14:paraId="2DBEBB88" w14:textId="77777777" w:rsidR="003D7C82" w:rsidRDefault="003D7C82" w:rsidP="00B0780E">
            <w:r>
              <w:t>Race, ethnicity or cultural heritage</w:t>
            </w:r>
          </w:p>
        </w:tc>
        <w:tc>
          <w:tcPr>
            <w:tcW w:w="1276" w:type="dxa"/>
          </w:tcPr>
          <w:p w14:paraId="092D26F4" w14:textId="77777777" w:rsidR="003D7C82" w:rsidRDefault="003D7C82" w:rsidP="00B0780E">
            <w:r>
              <w:t>neutral</w:t>
            </w:r>
          </w:p>
        </w:tc>
        <w:tc>
          <w:tcPr>
            <w:tcW w:w="2693" w:type="dxa"/>
            <w:gridSpan w:val="2"/>
          </w:tcPr>
          <w:p w14:paraId="243C0A40" w14:textId="77777777" w:rsidR="003D7C82" w:rsidRDefault="003D7C82" w:rsidP="00B0780E">
            <w:r>
              <w:t>Customers may struggle to access information.</w:t>
            </w:r>
          </w:p>
        </w:tc>
        <w:tc>
          <w:tcPr>
            <w:tcW w:w="3067" w:type="dxa"/>
          </w:tcPr>
          <w:p w14:paraId="2E620827" w14:textId="77777777" w:rsidR="003D7C82" w:rsidRDefault="003D7C82" w:rsidP="00B0780E">
            <w:r>
              <w:t>All homes will be advertised via Property Pool Plus. A clear, easy to understand policy and guidance is available on KMBC’s website and can be made available in various formats on request.</w:t>
            </w:r>
          </w:p>
          <w:p w14:paraId="01DF7DEA" w14:textId="77777777" w:rsidR="003D7C82" w:rsidRDefault="003D7C82" w:rsidP="00B0780E">
            <w:r>
              <w:t xml:space="preserve">Customers have access to an online portal and online support/ advice on our website. </w:t>
            </w:r>
          </w:p>
          <w:p w14:paraId="75EE20E5" w14:textId="77777777" w:rsidR="003D7C82" w:rsidRDefault="003D7C82" w:rsidP="00B0780E">
            <w:r>
              <w:t xml:space="preserve"> </w:t>
            </w:r>
          </w:p>
          <w:p w14:paraId="4B70D573" w14:textId="77777777" w:rsidR="003D7C82" w:rsidRDefault="003D7C82" w:rsidP="00B0780E">
            <w:r>
              <w:lastRenderedPageBreak/>
              <w:t>We have specialist teams who talk customers through the process at the start of their tenancy and throughout and ensure any reasonable adjustments are made to meet their needs.</w:t>
            </w:r>
          </w:p>
          <w:p w14:paraId="42B968AE" w14:textId="77777777" w:rsidR="003D7C82" w:rsidRDefault="003D7C82" w:rsidP="00B0780E"/>
        </w:tc>
      </w:tr>
      <w:tr w:rsidR="00CE1A30" w14:paraId="4F7A64D2" w14:textId="77777777" w:rsidTr="00B0780E">
        <w:tc>
          <w:tcPr>
            <w:tcW w:w="1980" w:type="dxa"/>
            <w:shd w:val="clear" w:color="auto" w:fill="D9E2F3" w:themeFill="accent1" w:themeFillTint="33"/>
          </w:tcPr>
          <w:p w14:paraId="1CBE6545" w14:textId="77777777" w:rsidR="003D7C82" w:rsidRDefault="003D7C82" w:rsidP="00B0780E">
            <w:r>
              <w:lastRenderedPageBreak/>
              <w:t>Age</w:t>
            </w:r>
          </w:p>
        </w:tc>
        <w:tc>
          <w:tcPr>
            <w:tcW w:w="1276" w:type="dxa"/>
          </w:tcPr>
          <w:p w14:paraId="4F3FB6F9" w14:textId="43BD3E48" w:rsidR="003D7C82" w:rsidRDefault="00B07EC9" w:rsidP="00B0780E">
            <w:r>
              <w:t xml:space="preserve">Negative and Positive </w:t>
            </w:r>
          </w:p>
        </w:tc>
        <w:tc>
          <w:tcPr>
            <w:tcW w:w="2693" w:type="dxa"/>
            <w:gridSpan w:val="2"/>
          </w:tcPr>
          <w:p w14:paraId="5A5B3D0E" w14:textId="62958F56" w:rsidR="003D7C82" w:rsidRDefault="00CE1A30" w:rsidP="00B0780E">
            <w:r>
              <w:t xml:space="preserve">Applicants over the age of 50 will have more suitable properties to consider. People aged under 50 will not be considered for the properties. </w:t>
            </w:r>
            <w:r w:rsidR="003D7C82">
              <w:t>Customers may struggle to access information.</w:t>
            </w:r>
          </w:p>
        </w:tc>
        <w:tc>
          <w:tcPr>
            <w:tcW w:w="3067" w:type="dxa"/>
          </w:tcPr>
          <w:p w14:paraId="794230AD" w14:textId="012FDDFD" w:rsidR="003D7C82" w:rsidRDefault="003D7C82" w:rsidP="00E60EA2">
            <w:pPr>
              <w:jc w:val="both"/>
            </w:pPr>
            <w:r>
              <w:t xml:space="preserve">By allocating to a specific band and age group, we are targeting these homes to those with greatest need of that accommodation type. </w:t>
            </w:r>
            <w:r w:rsidR="00CE1A30">
              <w:t xml:space="preserve">This will ensure that </w:t>
            </w:r>
            <w:r w:rsidR="004362B6">
              <w:t>people age</w:t>
            </w:r>
            <w:r w:rsidR="005D1A08">
              <w:t>d</w:t>
            </w:r>
            <w:r w:rsidR="004362B6">
              <w:t xml:space="preserve"> 50 and over are able to live in accommodation that is more suited to their needs by increasing the supply of this type of accommodation. </w:t>
            </w:r>
            <w:r w:rsidR="00E60EA2">
              <w:t>Funding for this development requires accommodation to be ringfenced for this age group.</w:t>
            </w:r>
          </w:p>
          <w:p w14:paraId="223F726F" w14:textId="77777777" w:rsidR="004362B6" w:rsidRDefault="004362B6" w:rsidP="00B0780E"/>
          <w:p w14:paraId="593FC1DA" w14:textId="35C43820" w:rsidR="004362B6" w:rsidRDefault="004362B6" w:rsidP="00E60EA2">
            <w:pPr>
              <w:jc w:val="both"/>
            </w:pPr>
            <w:r>
              <w:t xml:space="preserve">This will free up other properties </w:t>
            </w:r>
            <w:r w:rsidR="005D1A08">
              <w:t xml:space="preserve">advertised to all ages on the social housing register which people under the age of 50 can be considered for. </w:t>
            </w:r>
          </w:p>
          <w:p w14:paraId="57363ECE" w14:textId="77777777" w:rsidR="005D1A08" w:rsidRDefault="005D1A08" w:rsidP="00B0780E"/>
          <w:p w14:paraId="7B5260F1" w14:textId="77777777" w:rsidR="003D7C82" w:rsidRDefault="003D7C82" w:rsidP="00B0780E">
            <w:r>
              <w:t>All homes will be advertised via Property Pool Plus. A clear, easy to understand policy and guidance is available on KMBC’s website and can be made available in various formats on request.</w:t>
            </w:r>
          </w:p>
          <w:p w14:paraId="225E06BF" w14:textId="77777777" w:rsidR="003D7C82" w:rsidRDefault="003D7C82" w:rsidP="00B0780E">
            <w:r>
              <w:t xml:space="preserve">Customers have access to an online portal and online support/ advice on our website. </w:t>
            </w:r>
          </w:p>
          <w:p w14:paraId="0C359758" w14:textId="77777777" w:rsidR="003D7C82" w:rsidRDefault="003D7C82" w:rsidP="00B0780E">
            <w:r>
              <w:t xml:space="preserve"> </w:t>
            </w:r>
          </w:p>
          <w:p w14:paraId="7EFBC928" w14:textId="77777777" w:rsidR="003D7C82" w:rsidRDefault="003D7C82" w:rsidP="00B0780E">
            <w:r>
              <w:t>We have specialist teams who talk customers through the process at the start of their tenancy and throughout and ensure any reasonable adjustments are made to meet their needs.</w:t>
            </w:r>
          </w:p>
          <w:p w14:paraId="1C60FA98" w14:textId="77777777" w:rsidR="003D7C82" w:rsidRDefault="003D7C82" w:rsidP="00B0780E"/>
        </w:tc>
      </w:tr>
      <w:tr w:rsidR="00CE1A30" w14:paraId="25899569" w14:textId="77777777" w:rsidTr="00B0780E">
        <w:tc>
          <w:tcPr>
            <w:tcW w:w="1980" w:type="dxa"/>
            <w:shd w:val="clear" w:color="auto" w:fill="D9E2F3" w:themeFill="accent1" w:themeFillTint="33"/>
          </w:tcPr>
          <w:p w14:paraId="257AB0B2" w14:textId="77777777" w:rsidR="003D7C82" w:rsidRDefault="003D7C82" w:rsidP="00B0780E">
            <w:r>
              <w:lastRenderedPageBreak/>
              <w:t>Marriage, civil partnership, inc single status</w:t>
            </w:r>
          </w:p>
        </w:tc>
        <w:tc>
          <w:tcPr>
            <w:tcW w:w="1276" w:type="dxa"/>
          </w:tcPr>
          <w:p w14:paraId="6ED95F6C" w14:textId="77777777" w:rsidR="003D7C82" w:rsidRDefault="003D7C82" w:rsidP="00B0780E">
            <w:r>
              <w:t>neutral</w:t>
            </w:r>
          </w:p>
        </w:tc>
        <w:tc>
          <w:tcPr>
            <w:tcW w:w="2693" w:type="dxa"/>
            <w:gridSpan w:val="2"/>
          </w:tcPr>
          <w:p w14:paraId="242EAC5F" w14:textId="77777777" w:rsidR="003D7C82" w:rsidRDefault="003D7C82" w:rsidP="00B0780E">
            <w:r>
              <w:t>All customers have equal access to provide feedback</w:t>
            </w:r>
          </w:p>
        </w:tc>
        <w:tc>
          <w:tcPr>
            <w:tcW w:w="3067" w:type="dxa"/>
          </w:tcPr>
          <w:p w14:paraId="2D976EFC" w14:textId="77777777" w:rsidR="003D7C82" w:rsidRDefault="003D7C82" w:rsidP="00B0780E"/>
        </w:tc>
      </w:tr>
      <w:tr w:rsidR="00CE1A30" w14:paraId="19092A22" w14:textId="77777777" w:rsidTr="00B0780E">
        <w:tc>
          <w:tcPr>
            <w:tcW w:w="1980" w:type="dxa"/>
            <w:shd w:val="clear" w:color="auto" w:fill="D9E2F3" w:themeFill="accent1" w:themeFillTint="33"/>
          </w:tcPr>
          <w:p w14:paraId="2A35AB26" w14:textId="77777777" w:rsidR="003D7C82" w:rsidRDefault="003D7C82" w:rsidP="00B0780E">
            <w:r>
              <w:t>Pregnancy, maternity and adoption</w:t>
            </w:r>
          </w:p>
        </w:tc>
        <w:tc>
          <w:tcPr>
            <w:tcW w:w="1276" w:type="dxa"/>
          </w:tcPr>
          <w:p w14:paraId="67F387A6" w14:textId="77777777" w:rsidR="003D7C82" w:rsidRDefault="003D7C82" w:rsidP="00B0780E">
            <w:r>
              <w:t>neutral</w:t>
            </w:r>
          </w:p>
        </w:tc>
        <w:tc>
          <w:tcPr>
            <w:tcW w:w="2693" w:type="dxa"/>
            <w:gridSpan w:val="2"/>
          </w:tcPr>
          <w:p w14:paraId="04A7EA03" w14:textId="77777777" w:rsidR="003D7C82" w:rsidRDefault="003D7C82" w:rsidP="00B0780E">
            <w:r>
              <w:t>All customers have equal access to provide feedback</w:t>
            </w:r>
          </w:p>
        </w:tc>
        <w:tc>
          <w:tcPr>
            <w:tcW w:w="3067" w:type="dxa"/>
          </w:tcPr>
          <w:p w14:paraId="38C92E7C" w14:textId="77777777" w:rsidR="003D7C82" w:rsidRDefault="003D7C82" w:rsidP="00B0780E"/>
        </w:tc>
      </w:tr>
      <w:tr w:rsidR="00CE1A30" w14:paraId="432A1A9C" w14:textId="77777777" w:rsidTr="00B0780E">
        <w:tc>
          <w:tcPr>
            <w:tcW w:w="1980" w:type="dxa"/>
            <w:shd w:val="clear" w:color="auto" w:fill="D9E2F3" w:themeFill="accent1" w:themeFillTint="33"/>
          </w:tcPr>
          <w:p w14:paraId="0FA22116" w14:textId="77777777" w:rsidR="003D7C82" w:rsidRDefault="003D7C82" w:rsidP="00B0780E">
            <w:r>
              <w:t>Carer status</w:t>
            </w:r>
          </w:p>
        </w:tc>
        <w:tc>
          <w:tcPr>
            <w:tcW w:w="1276" w:type="dxa"/>
          </w:tcPr>
          <w:p w14:paraId="59DC0E73" w14:textId="77777777" w:rsidR="003D7C82" w:rsidRDefault="003D7C82" w:rsidP="00B0780E">
            <w:r>
              <w:t>neutral</w:t>
            </w:r>
          </w:p>
        </w:tc>
        <w:tc>
          <w:tcPr>
            <w:tcW w:w="2693" w:type="dxa"/>
            <w:gridSpan w:val="2"/>
          </w:tcPr>
          <w:p w14:paraId="6A233A3A" w14:textId="77777777" w:rsidR="003D7C82" w:rsidRDefault="003D7C82" w:rsidP="00B0780E">
            <w:r>
              <w:t>All customers have equal access to provide feedback</w:t>
            </w:r>
          </w:p>
        </w:tc>
        <w:tc>
          <w:tcPr>
            <w:tcW w:w="3067" w:type="dxa"/>
          </w:tcPr>
          <w:p w14:paraId="647DA4DA" w14:textId="77777777" w:rsidR="003D7C82" w:rsidRDefault="003D7C82" w:rsidP="00B0780E"/>
        </w:tc>
      </w:tr>
      <w:tr w:rsidR="00CE1A30" w14:paraId="4800FC55" w14:textId="77777777" w:rsidTr="00B0780E">
        <w:tc>
          <w:tcPr>
            <w:tcW w:w="1980" w:type="dxa"/>
            <w:shd w:val="clear" w:color="auto" w:fill="D9E2F3" w:themeFill="accent1" w:themeFillTint="33"/>
          </w:tcPr>
          <w:p w14:paraId="414B9D3A" w14:textId="77777777" w:rsidR="003D7C82" w:rsidRDefault="003D7C82" w:rsidP="00B0780E">
            <w:r>
              <w:t>Socio economic background</w:t>
            </w:r>
          </w:p>
        </w:tc>
        <w:tc>
          <w:tcPr>
            <w:tcW w:w="1276" w:type="dxa"/>
          </w:tcPr>
          <w:p w14:paraId="0CDB89A6" w14:textId="77777777" w:rsidR="003D7C82" w:rsidRDefault="003D7C82" w:rsidP="00B0780E">
            <w:r>
              <w:t>neutral</w:t>
            </w:r>
          </w:p>
        </w:tc>
        <w:tc>
          <w:tcPr>
            <w:tcW w:w="2693" w:type="dxa"/>
            <w:gridSpan w:val="2"/>
          </w:tcPr>
          <w:p w14:paraId="5D3C5508" w14:textId="77777777" w:rsidR="003D7C82" w:rsidRDefault="003D7C82" w:rsidP="00B0780E">
            <w:r>
              <w:t>Customers may struggle to access information.</w:t>
            </w:r>
          </w:p>
        </w:tc>
        <w:tc>
          <w:tcPr>
            <w:tcW w:w="3067" w:type="dxa"/>
          </w:tcPr>
          <w:p w14:paraId="6E9708CB" w14:textId="77777777" w:rsidR="003D7C82" w:rsidRDefault="003D7C82" w:rsidP="00B0780E">
            <w:r>
              <w:t>All homes will be advertised via Property Pool Plus. A clear, easy to understand policy and guidance is available on KMBC’s website and can be made available in various formats on request.</w:t>
            </w:r>
          </w:p>
          <w:p w14:paraId="33393B5F" w14:textId="77777777" w:rsidR="003D7C82" w:rsidRDefault="003D7C82" w:rsidP="00B0780E">
            <w:r>
              <w:t xml:space="preserve">Customers have access to an online portal and online support/ advice on our website. </w:t>
            </w:r>
          </w:p>
          <w:p w14:paraId="35A78D72" w14:textId="77777777" w:rsidR="003D7C82" w:rsidRDefault="003D7C82" w:rsidP="00B0780E">
            <w:r>
              <w:t xml:space="preserve"> </w:t>
            </w:r>
          </w:p>
          <w:p w14:paraId="77EA1166" w14:textId="77777777" w:rsidR="003D7C82" w:rsidRDefault="003D7C82" w:rsidP="00B0780E">
            <w:r>
              <w:t>We have specialist teams who talk customers through the process at the start of their tenancy and throughout and ensure any reasonable adjustments are made to meet their needs.</w:t>
            </w:r>
          </w:p>
          <w:p w14:paraId="69AA5EBA" w14:textId="77777777" w:rsidR="003D7C82" w:rsidRDefault="003D7C82" w:rsidP="00B0780E"/>
        </w:tc>
      </w:tr>
      <w:tr w:rsidR="00CE1A30" w14:paraId="56CAC72C" w14:textId="77777777" w:rsidTr="00B0780E">
        <w:tc>
          <w:tcPr>
            <w:tcW w:w="1980" w:type="dxa"/>
            <w:shd w:val="clear" w:color="auto" w:fill="D9E2F3" w:themeFill="accent1" w:themeFillTint="33"/>
          </w:tcPr>
          <w:p w14:paraId="68DD1EE5" w14:textId="77777777" w:rsidR="003D7C82" w:rsidRDefault="003D7C82" w:rsidP="00B0780E">
            <w:r>
              <w:t>Intersectionality</w:t>
            </w:r>
          </w:p>
        </w:tc>
        <w:tc>
          <w:tcPr>
            <w:tcW w:w="1276" w:type="dxa"/>
          </w:tcPr>
          <w:p w14:paraId="05F7251D" w14:textId="77777777" w:rsidR="003D7C82" w:rsidRDefault="003D7C82" w:rsidP="00B0780E"/>
        </w:tc>
        <w:tc>
          <w:tcPr>
            <w:tcW w:w="2693" w:type="dxa"/>
            <w:gridSpan w:val="2"/>
          </w:tcPr>
          <w:p w14:paraId="75578EEA" w14:textId="77777777" w:rsidR="003D7C82" w:rsidRDefault="003D7C82" w:rsidP="00B0780E"/>
        </w:tc>
        <w:tc>
          <w:tcPr>
            <w:tcW w:w="3067" w:type="dxa"/>
          </w:tcPr>
          <w:p w14:paraId="3B12AEDA" w14:textId="77777777" w:rsidR="003D7C82" w:rsidRDefault="003D7C82" w:rsidP="00B0780E"/>
        </w:tc>
      </w:tr>
      <w:tr w:rsidR="003D7C82" w14:paraId="523A0F2E" w14:textId="77777777" w:rsidTr="00B0780E">
        <w:tc>
          <w:tcPr>
            <w:tcW w:w="9016" w:type="dxa"/>
            <w:gridSpan w:val="5"/>
          </w:tcPr>
          <w:p w14:paraId="3C47C4FE" w14:textId="77777777" w:rsidR="003D7C82" w:rsidRDefault="003D7C82" w:rsidP="00B0780E"/>
          <w:p w14:paraId="285D0E3B" w14:textId="77777777" w:rsidR="003D7C82" w:rsidRDefault="003D7C82" w:rsidP="00B0780E"/>
          <w:p w14:paraId="14F7ABA1" w14:textId="77777777" w:rsidR="003D7C82" w:rsidRDefault="003D7C82" w:rsidP="00B0780E"/>
          <w:p w14:paraId="7C7FE9D2" w14:textId="77777777" w:rsidR="003D7C82" w:rsidRDefault="003D7C82" w:rsidP="00B0780E"/>
        </w:tc>
      </w:tr>
      <w:tr w:rsidR="00CE1A30" w14:paraId="19446856" w14:textId="77777777" w:rsidTr="00B0780E">
        <w:tc>
          <w:tcPr>
            <w:tcW w:w="4508" w:type="dxa"/>
            <w:gridSpan w:val="3"/>
          </w:tcPr>
          <w:p w14:paraId="18653526" w14:textId="77777777" w:rsidR="003D7C82" w:rsidRPr="003A5F38" w:rsidRDefault="003D7C82" w:rsidP="00B0780E">
            <w:pPr>
              <w:rPr>
                <w:b/>
                <w:bCs/>
              </w:rPr>
            </w:pPr>
            <w:r>
              <w:rPr>
                <w:b/>
                <w:bCs/>
              </w:rPr>
              <w:t>Approving Manager:  S Smith</w:t>
            </w:r>
          </w:p>
        </w:tc>
        <w:tc>
          <w:tcPr>
            <w:tcW w:w="4508" w:type="dxa"/>
            <w:gridSpan w:val="2"/>
          </w:tcPr>
          <w:p w14:paraId="7DB4B9AF" w14:textId="77777777" w:rsidR="003D7C82" w:rsidRDefault="003D7C82" w:rsidP="00B0780E">
            <w:r>
              <w:rPr>
                <w:b/>
                <w:bCs/>
              </w:rPr>
              <w:t>Signature: S Smith</w:t>
            </w:r>
          </w:p>
        </w:tc>
      </w:tr>
    </w:tbl>
    <w:p w14:paraId="70636529" w14:textId="77777777" w:rsidR="003D7C82" w:rsidRDefault="003D7C82" w:rsidP="003D7C82">
      <w:pPr>
        <w:rPr>
          <w:b/>
          <w:bCs/>
        </w:rPr>
      </w:pPr>
    </w:p>
    <w:p w14:paraId="302CBF65" w14:textId="77777777" w:rsidR="003D7C82" w:rsidRDefault="003D7C82" w:rsidP="003D7C82">
      <w:pPr>
        <w:rPr>
          <w:u w:val="single"/>
        </w:rPr>
      </w:pPr>
    </w:p>
    <w:p w14:paraId="3FB755F1" w14:textId="77777777" w:rsidR="003D7C82" w:rsidRPr="00E7117D" w:rsidRDefault="003D7C82" w:rsidP="003D7C82">
      <w:pPr>
        <w:rPr>
          <w:u w:val="single"/>
        </w:rPr>
      </w:pPr>
    </w:p>
    <w:p w14:paraId="5005232A" w14:textId="77777777" w:rsidR="003A044E" w:rsidRDefault="003A044E" w:rsidP="003A044E">
      <w:pPr>
        <w:ind w:left="360"/>
        <w:rPr>
          <w:b/>
        </w:rPr>
      </w:pPr>
    </w:p>
    <w:p w14:paraId="717B3F8B" w14:textId="77777777" w:rsidR="003A044E" w:rsidRPr="00E31EC4" w:rsidRDefault="003A044E" w:rsidP="003A044E">
      <w:pPr>
        <w:ind w:left="7200" w:firstLine="720"/>
        <w:rPr>
          <w:b/>
        </w:rPr>
      </w:pPr>
    </w:p>
    <w:p w14:paraId="081B2415" w14:textId="77777777" w:rsidR="003A044E" w:rsidRDefault="003A044E"/>
    <w:sectPr w:rsidR="003A044E" w:rsidSect="00F55623">
      <w:headerReference w:type="default" r:id="rId11"/>
      <w:footerReference w:type="defaul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D710E" w14:textId="77777777" w:rsidR="000B2C13" w:rsidRDefault="000B2C13" w:rsidP="002E3E40">
      <w:pPr>
        <w:spacing w:after="0" w:line="240" w:lineRule="auto"/>
      </w:pPr>
      <w:r>
        <w:separator/>
      </w:r>
    </w:p>
  </w:endnote>
  <w:endnote w:type="continuationSeparator" w:id="0">
    <w:p w14:paraId="2C28FCE9" w14:textId="77777777" w:rsidR="000B2C13" w:rsidRDefault="000B2C13" w:rsidP="002E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4903"/>
      <w:docPartObj>
        <w:docPartGallery w:val="Page Numbers (Bottom of Page)"/>
        <w:docPartUnique/>
      </w:docPartObj>
    </w:sdtPr>
    <w:sdtEndPr>
      <w:rPr>
        <w:noProof/>
      </w:rPr>
    </w:sdtEndPr>
    <w:sdtContent>
      <w:p w14:paraId="6F23C7A2" w14:textId="77777777" w:rsidR="00D14980" w:rsidRDefault="00D14980">
        <w:pPr>
          <w:pStyle w:val="Footer"/>
          <w:jc w:val="center"/>
        </w:pPr>
        <w:r>
          <w:fldChar w:fldCharType="begin"/>
        </w:r>
        <w:r>
          <w:instrText xml:space="preserve"> PAGE   \* MERGEFORMAT </w:instrText>
        </w:r>
        <w:r>
          <w:fldChar w:fldCharType="separate"/>
        </w:r>
        <w:r>
          <w:rPr>
            <w:noProof/>
          </w:rPr>
          <w:t>19</w:t>
        </w:r>
        <w:r>
          <w:rPr>
            <w:noProof/>
          </w:rPr>
          <w:fldChar w:fldCharType="end"/>
        </w:r>
      </w:p>
    </w:sdtContent>
  </w:sdt>
  <w:p w14:paraId="4AAE8B9C" w14:textId="77777777" w:rsidR="00D14980" w:rsidRDefault="00D149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CDC2F" w14:textId="77777777" w:rsidR="000B2C13" w:rsidRDefault="000B2C13" w:rsidP="002E3E40">
      <w:pPr>
        <w:spacing w:after="0" w:line="240" w:lineRule="auto"/>
      </w:pPr>
      <w:r>
        <w:separator/>
      </w:r>
    </w:p>
  </w:footnote>
  <w:footnote w:type="continuationSeparator" w:id="0">
    <w:p w14:paraId="1CBF398D" w14:textId="77777777" w:rsidR="000B2C13" w:rsidRDefault="000B2C13" w:rsidP="002E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1AB0A" w14:textId="77777777" w:rsidR="00D14980" w:rsidRDefault="00D14980">
    <w:pPr>
      <w:pStyle w:val="Header"/>
    </w:pPr>
    <w:r>
      <w:rPr>
        <w:noProof/>
      </w:rPr>
      <w:drawing>
        <wp:anchor distT="0" distB="0" distL="114300" distR="114300" simplePos="0" relativeHeight="251660288" behindDoc="1" locked="0" layoutInCell="1" allowOverlap="1" wp14:anchorId="0D86DD25" wp14:editId="09DE7E54">
          <wp:simplePos x="0" y="0"/>
          <wp:positionH relativeFrom="column">
            <wp:posOffset>5219700</wp:posOffset>
          </wp:positionH>
          <wp:positionV relativeFrom="paragraph">
            <wp:posOffset>-105410</wp:posOffset>
          </wp:positionV>
          <wp:extent cx="1389600" cy="946800"/>
          <wp:effectExtent l="0" t="0" r="0" b="0"/>
          <wp:wrapNone/>
          <wp:docPr id="46889665" name="Picture 46889665" descr="A picture containing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9600" cy="946800"/>
                  </a:xfrm>
                  <a:prstGeom prst="rect">
                    <a:avLst/>
                  </a:prstGeom>
                  <a:noFill/>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59264" behindDoc="1" locked="0" layoutInCell="1" allowOverlap="0" wp14:anchorId="37A12499" wp14:editId="3C05D162">
          <wp:simplePos x="0" y="0"/>
          <wp:positionH relativeFrom="page">
            <wp:align>right</wp:align>
          </wp:positionH>
          <wp:positionV relativeFrom="page">
            <wp:posOffset>10795</wp:posOffset>
          </wp:positionV>
          <wp:extent cx="7556400" cy="306000"/>
          <wp:effectExtent l="0" t="0" r="0" b="0"/>
          <wp:wrapNone/>
          <wp:docPr id="791076363" name="Picture 791076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65411" name="Picture 1309265411"/>
                  <pic:cNvPicPr/>
                </pic:nvPicPr>
                <pic:blipFill>
                  <a:blip r:embed="rId2">
                    <a:extLst>
                      <a:ext uri="{28A0092B-C50C-407E-A947-70E740481C1C}">
                        <a14:useLocalDpi xmlns:a14="http://schemas.microsoft.com/office/drawing/2010/main" val="0"/>
                      </a:ext>
                    </a:extLst>
                  </a:blip>
                  <a:stretch>
                    <a:fillRect/>
                  </a:stretch>
                </pic:blipFill>
                <pic:spPr>
                  <a:xfrm>
                    <a:off x="0" y="0"/>
                    <a:ext cx="75564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B58F4"/>
    <w:multiLevelType w:val="hybridMultilevel"/>
    <w:tmpl w:val="B0123E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1D5532C"/>
    <w:multiLevelType w:val="hybridMultilevel"/>
    <w:tmpl w:val="21CCE4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F0A79C8"/>
    <w:multiLevelType w:val="multilevel"/>
    <w:tmpl w:val="9FBEE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322035"/>
    <w:multiLevelType w:val="hybridMultilevel"/>
    <w:tmpl w:val="83E0A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EB90C3A"/>
    <w:multiLevelType w:val="hybridMultilevel"/>
    <w:tmpl w:val="23A4C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C10FC9"/>
    <w:multiLevelType w:val="hybridMultilevel"/>
    <w:tmpl w:val="6FA8D9FA"/>
    <w:lvl w:ilvl="0" w:tplc="0809000F">
      <w:start w:val="1"/>
      <w:numFmt w:val="decimal"/>
      <w:lvlText w:val="%1."/>
      <w:lvlJc w:val="left"/>
      <w:pPr>
        <w:ind w:left="720" w:hanging="360"/>
      </w:pPr>
      <w:rPr>
        <w:rFonts w:hint="default"/>
        <w:b/>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5CD0E03"/>
    <w:multiLevelType w:val="hybridMultilevel"/>
    <w:tmpl w:val="A2CCFE6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48638491">
    <w:abstractNumId w:val="4"/>
  </w:num>
  <w:num w:numId="2" w16cid:durableId="1405879314">
    <w:abstractNumId w:val="5"/>
  </w:num>
  <w:num w:numId="3" w16cid:durableId="1975792704">
    <w:abstractNumId w:val="3"/>
  </w:num>
  <w:num w:numId="4" w16cid:durableId="1947544917">
    <w:abstractNumId w:val="6"/>
  </w:num>
  <w:num w:numId="5" w16cid:durableId="186410457">
    <w:abstractNumId w:val="0"/>
  </w:num>
  <w:num w:numId="6" w16cid:durableId="1326130773">
    <w:abstractNumId w:val="1"/>
  </w:num>
  <w:num w:numId="7" w16cid:durableId="458302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4E"/>
    <w:rsid w:val="00020EA2"/>
    <w:rsid w:val="0002376B"/>
    <w:rsid w:val="00035DBF"/>
    <w:rsid w:val="000855A4"/>
    <w:rsid w:val="000A2534"/>
    <w:rsid w:val="000A2B4B"/>
    <w:rsid w:val="000B274D"/>
    <w:rsid w:val="000B2C13"/>
    <w:rsid w:val="000C0FB4"/>
    <w:rsid w:val="000D4D71"/>
    <w:rsid w:val="000D585A"/>
    <w:rsid w:val="000E1FFE"/>
    <w:rsid w:val="000E5AA5"/>
    <w:rsid w:val="00111208"/>
    <w:rsid w:val="001263CD"/>
    <w:rsid w:val="001445E5"/>
    <w:rsid w:val="00150B00"/>
    <w:rsid w:val="001C5D00"/>
    <w:rsid w:val="001F58CD"/>
    <w:rsid w:val="00273E8E"/>
    <w:rsid w:val="002762E4"/>
    <w:rsid w:val="00276D08"/>
    <w:rsid w:val="002A18AB"/>
    <w:rsid w:val="002C6997"/>
    <w:rsid w:val="002E3E40"/>
    <w:rsid w:val="003032D0"/>
    <w:rsid w:val="00370CF5"/>
    <w:rsid w:val="003A044E"/>
    <w:rsid w:val="003D7C82"/>
    <w:rsid w:val="00405476"/>
    <w:rsid w:val="004262D2"/>
    <w:rsid w:val="004362B6"/>
    <w:rsid w:val="004613E9"/>
    <w:rsid w:val="00473FDD"/>
    <w:rsid w:val="00484E95"/>
    <w:rsid w:val="00496412"/>
    <w:rsid w:val="004C6E62"/>
    <w:rsid w:val="00504A6E"/>
    <w:rsid w:val="005066FB"/>
    <w:rsid w:val="0051470E"/>
    <w:rsid w:val="005519EC"/>
    <w:rsid w:val="00552844"/>
    <w:rsid w:val="005A7024"/>
    <w:rsid w:val="005B3B7D"/>
    <w:rsid w:val="005C6CC9"/>
    <w:rsid w:val="005D1A08"/>
    <w:rsid w:val="005D5C9B"/>
    <w:rsid w:val="005D694C"/>
    <w:rsid w:val="00624E6C"/>
    <w:rsid w:val="00673677"/>
    <w:rsid w:val="00693A64"/>
    <w:rsid w:val="006B55E1"/>
    <w:rsid w:val="00703144"/>
    <w:rsid w:val="00757CF1"/>
    <w:rsid w:val="00757D2A"/>
    <w:rsid w:val="00792527"/>
    <w:rsid w:val="007956DB"/>
    <w:rsid w:val="00797F60"/>
    <w:rsid w:val="007A574C"/>
    <w:rsid w:val="007A5B14"/>
    <w:rsid w:val="007C28B2"/>
    <w:rsid w:val="007D14D2"/>
    <w:rsid w:val="007F4C59"/>
    <w:rsid w:val="00813876"/>
    <w:rsid w:val="00817C9D"/>
    <w:rsid w:val="0083584D"/>
    <w:rsid w:val="0085416B"/>
    <w:rsid w:val="00886CE0"/>
    <w:rsid w:val="008C64F9"/>
    <w:rsid w:val="008D2C49"/>
    <w:rsid w:val="008F7684"/>
    <w:rsid w:val="009043FF"/>
    <w:rsid w:val="00916E55"/>
    <w:rsid w:val="009278B3"/>
    <w:rsid w:val="00971991"/>
    <w:rsid w:val="009A564D"/>
    <w:rsid w:val="009E795A"/>
    <w:rsid w:val="00A04858"/>
    <w:rsid w:val="00A16D47"/>
    <w:rsid w:val="00A41BEE"/>
    <w:rsid w:val="00A4688C"/>
    <w:rsid w:val="00A57CB7"/>
    <w:rsid w:val="00A74411"/>
    <w:rsid w:val="00A75EFD"/>
    <w:rsid w:val="00A76747"/>
    <w:rsid w:val="00A8625E"/>
    <w:rsid w:val="00A90130"/>
    <w:rsid w:val="00AD43A7"/>
    <w:rsid w:val="00AF7DFE"/>
    <w:rsid w:val="00B07EC9"/>
    <w:rsid w:val="00B17B6C"/>
    <w:rsid w:val="00B319EE"/>
    <w:rsid w:val="00B350F9"/>
    <w:rsid w:val="00B36E8C"/>
    <w:rsid w:val="00B42A4C"/>
    <w:rsid w:val="00B7217E"/>
    <w:rsid w:val="00B82475"/>
    <w:rsid w:val="00B971BB"/>
    <w:rsid w:val="00BD5805"/>
    <w:rsid w:val="00BD5C0E"/>
    <w:rsid w:val="00BD5C76"/>
    <w:rsid w:val="00C121FA"/>
    <w:rsid w:val="00C16C75"/>
    <w:rsid w:val="00C22535"/>
    <w:rsid w:val="00C33C97"/>
    <w:rsid w:val="00C3744F"/>
    <w:rsid w:val="00C42175"/>
    <w:rsid w:val="00C512BD"/>
    <w:rsid w:val="00C5722C"/>
    <w:rsid w:val="00C75D9A"/>
    <w:rsid w:val="00C81306"/>
    <w:rsid w:val="00C879A8"/>
    <w:rsid w:val="00C9620B"/>
    <w:rsid w:val="00CA1F5D"/>
    <w:rsid w:val="00CC05D1"/>
    <w:rsid w:val="00CC0868"/>
    <w:rsid w:val="00CE1A30"/>
    <w:rsid w:val="00CF2CD1"/>
    <w:rsid w:val="00CF3326"/>
    <w:rsid w:val="00D079FF"/>
    <w:rsid w:val="00D14980"/>
    <w:rsid w:val="00D57D4D"/>
    <w:rsid w:val="00DA4B0E"/>
    <w:rsid w:val="00DA65B2"/>
    <w:rsid w:val="00DA748D"/>
    <w:rsid w:val="00DD4B9C"/>
    <w:rsid w:val="00E31D78"/>
    <w:rsid w:val="00E407DA"/>
    <w:rsid w:val="00E57A8E"/>
    <w:rsid w:val="00E60EA2"/>
    <w:rsid w:val="00E7072C"/>
    <w:rsid w:val="00EC7B8D"/>
    <w:rsid w:val="00ED1F48"/>
    <w:rsid w:val="00EE7454"/>
    <w:rsid w:val="00EF4098"/>
    <w:rsid w:val="00F07980"/>
    <w:rsid w:val="00F257CB"/>
    <w:rsid w:val="00F539FA"/>
    <w:rsid w:val="00F55623"/>
    <w:rsid w:val="00F667D2"/>
    <w:rsid w:val="00F7234C"/>
    <w:rsid w:val="00FA5C63"/>
    <w:rsid w:val="00FB0472"/>
    <w:rsid w:val="00FC494B"/>
    <w:rsid w:val="00FD12EE"/>
    <w:rsid w:val="00FF7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A6F9E2"/>
  <w15:chartTrackingRefBased/>
  <w15:docId w15:val="{488F8D88-94B9-4824-A840-CA0F23534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4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4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44E"/>
    <w:pPr>
      <w:ind w:left="720"/>
      <w:contextualSpacing/>
    </w:pPr>
  </w:style>
  <w:style w:type="paragraph" w:styleId="Header">
    <w:name w:val="header"/>
    <w:basedOn w:val="Normal"/>
    <w:link w:val="HeaderChar"/>
    <w:uiPriority w:val="99"/>
    <w:unhideWhenUsed/>
    <w:rsid w:val="003A0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044E"/>
    <w:rPr>
      <w:kern w:val="0"/>
      <w14:ligatures w14:val="none"/>
    </w:rPr>
  </w:style>
  <w:style w:type="paragraph" w:styleId="Footer">
    <w:name w:val="footer"/>
    <w:basedOn w:val="Normal"/>
    <w:link w:val="FooterChar"/>
    <w:unhideWhenUsed/>
    <w:rsid w:val="003A044E"/>
    <w:pPr>
      <w:tabs>
        <w:tab w:val="center" w:pos="4513"/>
        <w:tab w:val="right" w:pos="9026"/>
      </w:tabs>
      <w:spacing w:after="0" w:line="240" w:lineRule="auto"/>
    </w:pPr>
  </w:style>
  <w:style w:type="character" w:customStyle="1" w:styleId="FooterChar">
    <w:name w:val="Footer Char"/>
    <w:basedOn w:val="DefaultParagraphFont"/>
    <w:link w:val="Footer"/>
    <w:rsid w:val="003A044E"/>
    <w:rPr>
      <w:kern w:val="0"/>
      <w14:ligatures w14:val="none"/>
    </w:rPr>
  </w:style>
  <w:style w:type="paragraph" w:styleId="Revision">
    <w:name w:val="Revision"/>
    <w:hidden/>
    <w:uiPriority w:val="99"/>
    <w:semiHidden/>
    <w:rsid w:val="003A044E"/>
    <w:pPr>
      <w:spacing w:after="0" w:line="240" w:lineRule="auto"/>
    </w:pPr>
    <w:rPr>
      <w:kern w:val="0"/>
      <w14:ligatures w14:val="none"/>
    </w:rPr>
  </w:style>
  <w:style w:type="character" w:styleId="CommentReference">
    <w:name w:val="annotation reference"/>
    <w:basedOn w:val="DefaultParagraphFont"/>
    <w:uiPriority w:val="99"/>
    <w:semiHidden/>
    <w:unhideWhenUsed/>
    <w:rsid w:val="003A044E"/>
    <w:rPr>
      <w:sz w:val="16"/>
      <w:szCs w:val="16"/>
    </w:rPr>
  </w:style>
  <w:style w:type="paragraph" w:styleId="CommentText">
    <w:name w:val="annotation text"/>
    <w:basedOn w:val="Normal"/>
    <w:link w:val="CommentTextChar"/>
    <w:uiPriority w:val="99"/>
    <w:unhideWhenUsed/>
    <w:rsid w:val="003A044E"/>
    <w:pPr>
      <w:spacing w:line="240" w:lineRule="auto"/>
    </w:pPr>
    <w:rPr>
      <w:sz w:val="20"/>
      <w:szCs w:val="20"/>
    </w:rPr>
  </w:style>
  <w:style w:type="character" w:customStyle="1" w:styleId="CommentTextChar">
    <w:name w:val="Comment Text Char"/>
    <w:basedOn w:val="DefaultParagraphFont"/>
    <w:link w:val="CommentText"/>
    <w:uiPriority w:val="99"/>
    <w:rsid w:val="003A044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A044E"/>
    <w:rPr>
      <w:b/>
      <w:bCs/>
    </w:rPr>
  </w:style>
  <w:style w:type="character" w:customStyle="1" w:styleId="CommentSubjectChar">
    <w:name w:val="Comment Subject Char"/>
    <w:basedOn w:val="CommentTextChar"/>
    <w:link w:val="CommentSubject"/>
    <w:uiPriority w:val="99"/>
    <w:semiHidden/>
    <w:rsid w:val="003A044E"/>
    <w:rPr>
      <w:b/>
      <w:bCs/>
      <w:kern w:val="0"/>
      <w:sz w:val="20"/>
      <w:szCs w:val="20"/>
      <w14:ligatures w14:val="none"/>
    </w:rPr>
  </w:style>
  <w:style w:type="character" w:styleId="PageNumber">
    <w:name w:val="page number"/>
    <w:rsid w:val="00673677"/>
    <w:rPr>
      <w:rFonts w:ascii="Arial" w:hAnsi="Arial"/>
      <w:sz w:val="24"/>
    </w:rPr>
  </w:style>
  <w:style w:type="character" w:customStyle="1" w:styleId="FooterText">
    <w:name w:val="Footer Text"/>
    <w:rsid w:val="00673677"/>
    <w:rPr>
      <w:rFonts w:ascii="Arial" w:hAnsi="Arial"/>
      <w:sz w:val="16"/>
    </w:rPr>
  </w:style>
  <w:style w:type="paragraph" w:styleId="NoSpacing">
    <w:name w:val="No Spacing"/>
    <w:uiPriority w:val="1"/>
    <w:qFormat/>
    <w:rsid w:val="00673677"/>
    <w:pPr>
      <w:spacing w:after="0" w:line="240" w:lineRule="auto"/>
      <w:jc w:val="both"/>
    </w:pPr>
    <w:rPr>
      <w:rFonts w:ascii="Arial" w:eastAsia="Times New Roman" w:hAnsi="Arial" w:cs="Times New Roman"/>
      <w:kern w:val="0"/>
      <w:sz w:val="24"/>
      <w:szCs w:val="20"/>
      <w14:ligatures w14:val="none"/>
    </w:rPr>
  </w:style>
  <w:style w:type="paragraph" w:styleId="NormalWeb">
    <w:name w:val="Normal (Web)"/>
    <w:basedOn w:val="Normal"/>
    <w:uiPriority w:val="99"/>
    <w:semiHidden/>
    <w:unhideWhenUsed/>
    <w:rsid w:val="005B3B7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348055">
      <w:bodyDiv w:val="1"/>
      <w:marLeft w:val="0"/>
      <w:marRight w:val="0"/>
      <w:marTop w:val="0"/>
      <w:marBottom w:val="0"/>
      <w:divBdr>
        <w:top w:val="none" w:sz="0" w:space="0" w:color="auto"/>
        <w:left w:val="none" w:sz="0" w:space="0" w:color="auto"/>
        <w:bottom w:val="none" w:sz="0" w:space="0" w:color="auto"/>
        <w:right w:val="none" w:sz="0" w:space="0" w:color="auto"/>
      </w:divBdr>
    </w:div>
    <w:div w:id="347684012">
      <w:bodyDiv w:val="1"/>
      <w:marLeft w:val="0"/>
      <w:marRight w:val="0"/>
      <w:marTop w:val="0"/>
      <w:marBottom w:val="0"/>
      <w:divBdr>
        <w:top w:val="none" w:sz="0" w:space="0" w:color="auto"/>
        <w:left w:val="none" w:sz="0" w:space="0" w:color="auto"/>
        <w:bottom w:val="none" w:sz="0" w:space="0" w:color="auto"/>
        <w:right w:val="none" w:sz="0" w:space="0" w:color="auto"/>
      </w:divBdr>
      <w:divsChild>
        <w:div w:id="245655379">
          <w:marLeft w:val="0"/>
          <w:marRight w:val="0"/>
          <w:marTop w:val="0"/>
          <w:marBottom w:val="0"/>
          <w:divBdr>
            <w:top w:val="none" w:sz="0" w:space="0" w:color="auto"/>
            <w:left w:val="none" w:sz="0" w:space="0" w:color="auto"/>
            <w:bottom w:val="none" w:sz="0" w:space="0" w:color="auto"/>
            <w:right w:val="none" w:sz="0" w:space="0" w:color="auto"/>
          </w:divBdr>
        </w:div>
      </w:divsChild>
    </w:div>
    <w:div w:id="82131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725EF7C3D46746AD3FFDF9FF0E2700" ma:contentTypeVersion="9" ma:contentTypeDescription="Create a new document." ma:contentTypeScope="" ma:versionID="fc7a9bb0fd64413eaa5c3a30ca51d355">
  <xsd:schema xmlns:xsd="http://www.w3.org/2001/XMLSchema" xmlns:xs="http://www.w3.org/2001/XMLSchema" xmlns:p="http://schemas.microsoft.com/office/2006/metadata/properties" xmlns:ns3="7c63ceab-1b74-405d-9bf2-0884730d2db9" targetNamespace="http://schemas.microsoft.com/office/2006/metadata/properties" ma:root="true" ma:fieldsID="87d092217419de50eafdf7849ad8e80e" ns3:_="">
    <xsd:import namespace="7c63ceab-1b74-405d-9bf2-0884730d2d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3ceab-1b74-405d-9bf2-0884730d2d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0441FE-C18F-4223-AD2D-0DEBC75D2C0E}">
  <ds:schemaRefs>
    <ds:schemaRef ds:uri="http://schemas.openxmlformats.org/officeDocument/2006/bibliography"/>
  </ds:schemaRefs>
</ds:datastoreItem>
</file>

<file path=customXml/itemProps2.xml><?xml version="1.0" encoding="utf-8"?>
<ds:datastoreItem xmlns:ds="http://schemas.openxmlformats.org/officeDocument/2006/customXml" ds:itemID="{C840FBBF-870C-4F7D-B55B-D8119553A5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3ceab-1b74-405d-9bf2-0884730d2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2635A-7577-4903-A588-A0984CAD896D}">
  <ds:schemaRefs>
    <ds:schemaRef ds:uri="http://schemas.microsoft.com/sharepoint/v3/contenttype/forms"/>
  </ds:schemaRefs>
</ds:datastoreItem>
</file>

<file path=customXml/itemProps4.xml><?xml version="1.0" encoding="utf-8"?>
<ds:datastoreItem xmlns:ds="http://schemas.openxmlformats.org/officeDocument/2006/customXml" ds:itemID="{ACBF9A6B-2872-438B-89F5-BB728D0AC96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c63ceab-1b74-405d-9bf2-0884730d2db9"/>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2669</Words>
  <Characters>15214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Knowsley Metropolitan Borough Council</Company>
  <LinksUpToDate>false</LinksUpToDate>
  <CharactersWithSpaces>17848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Abbott, Emma</dc:creator>
  <cp:keywords/>
  <dc:description/>
  <cp:lastModifiedBy>Lowe, Ann</cp:lastModifiedBy>
  <cp:revision>2</cp:revision>
  <dcterms:created xsi:type="dcterms:W3CDTF">2024-06-20T06:55:00Z</dcterms:created>
  <dcterms:modified xsi:type="dcterms:W3CDTF">2024-06-20T06:55:00Z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0x01010025725EF7C3D46746AD3FFDF9FF0E2700</vt:lpwstr>
  </property>
</Properties>
</file>