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1B8C0" w14:textId="5072B9FE" w:rsidR="008E28D4" w:rsidRPr="0006644B" w:rsidRDefault="008E28D4" w:rsidP="00A81A9F">
      <w:pPr>
        <w:jc w:val="center"/>
        <w:rPr>
          <w:rFonts w:ascii="Calibri" w:hAnsi="Calibri" w:cs="Calibri"/>
          <w:b/>
          <w:sz w:val="24"/>
          <w:szCs w:val="24"/>
          <w:u w:val="single"/>
        </w:rPr>
      </w:pPr>
      <w:r w:rsidRPr="0006644B">
        <w:rPr>
          <w:rFonts w:ascii="Calibri" w:hAnsi="Calibri" w:cs="Calibri"/>
          <w:b/>
          <w:sz w:val="24"/>
          <w:szCs w:val="24"/>
          <w:u w:val="single"/>
        </w:rPr>
        <w:t>Local Lettings Policy</w:t>
      </w:r>
      <w:r w:rsidR="00CC7774">
        <w:rPr>
          <w:rFonts w:ascii="Calibri" w:hAnsi="Calibri" w:cs="Calibri"/>
          <w:b/>
          <w:sz w:val="24"/>
          <w:szCs w:val="24"/>
          <w:u w:val="single"/>
        </w:rPr>
        <w:t xml:space="preserve"> </w:t>
      </w:r>
      <w:r w:rsidR="007326B4">
        <w:rPr>
          <w:rFonts w:ascii="Calibri" w:hAnsi="Calibri" w:cs="Calibri"/>
          <w:b/>
          <w:sz w:val="24"/>
          <w:szCs w:val="24"/>
          <w:u w:val="single"/>
        </w:rPr>
        <w:t xml:space="preserve">- </w:t>
      </w:r>
      <w:r w:rsidR="0032792D">
        <w:rPr>
          <w:rFonts w:ascii="Calibri" w:hAnsi="Calibri" w:cs="Calibri"/>
          <w:b/>
          <w:sz w:val="24"/>
          <w:szCs w:val="24"/>
          <w:u w:val="single"/>
        </w:rPr>
        <w:t xml:space="preserve">Greenes </w:t>
      </w:r>
      <w:r w:rsidR="00442BCC">
        <w:rPr>
          <w:rFonts w:ascii="Calibri" w:hAnsi="Calibri" w:cs="Calibri"/>
          <w:b/>
          <w:sz w:val="24"/>
          <w:szCs w:val="24"/>
          <w:u w:val="single"/>
        </w:rPr>
        <w:t>Road</w:t>
      </w:r>
      <w:r w:rsidR="0032792D">
        <w:rPr>
          <w:rFonts w:ascii="Calibri" w:hAnsi="Calibri" w:cs="Calibri"/>
          <w:b/>
          <w:sz w:val="24"/>
          <w:szCs w:val="24"/>
          <w:u w:val="single"/>
        </w:rPr>
        <w:t>, Whiston</w:t>
      </w:r>
    </w:p>
    <w:p w14:paraId="11A95CD8" w14:textId="77777777" w:rsidR="008E28D4" w:rsidRPr="0006644B" w:rsidRDefault="008E28D4" w:rsidP="008E28D4">
      <w:pPr>
        <w:jc w:val="both"/>
        <w:rPr>
          <w:rFonts w:ascii="Calibri" w:hAnsi="Calibri" w:cs="Calibri"/>
          <w:sz w:val="24"/>
          <w:szCs w:val="24"/>
        </w:rPr>
      </w:pPr>
    </w:p>
    <w:p w14:paraId="295B897C" w14:textId="77777777" w:rsidR="008E28D4" w:rsidRPr="0006644B" w:rsidRDefault="008E28D4" w:rsidP="008E28D4">
      <w:pPr>
        <w:numPr>
          <w:ilvl w:val="0"/>
          <w:numId w:val="4"/>
        </w:numPr>
        <w:ind w:hanging="360"/>
        <w:jc w:val="both"/>
        <w:rPr>
          <w:rFonts w:ascii="Calibri" w:hAnsi="Calibri" w:cs="Calibri"/>
          <w:b/>
          <w:sz w:val="24"/>
          <w:szCs w:val="24"/>
        </w:rPr>
      </w:pPr>
      <w:r w:rsidRPr="0006644B">
        <w:rPr>
          <w:rFonts w:ascii="Calibri" w:hAnsi="Calibri" w:cs="Calibri"/>
          <w:b/>
          <w:sz w:val="24"/>
          <w:szCs w:val="24"/>
        </w:rPr>
        <w:t>Introduction</w:t>
      </w:r>
    </w:p>
    <w:p w14:paraId="37B62AAC" w14:textId="77777777" w:rsidR="008E28D4" w:rsidRPr="0006644B" w:rsidRDefault="008E28D4" w:rsidP="008E28D4">
      <w:pPr>
        <w:jc w:val="both"/>
        <w:rPr>
          <w:rFonts w:ascii="Calibri" w:hAnsi="Calibri" w:cs="Calibri"/>
          <w:b/>
          <w:sz w:val="24"/>
          <w:szCs w:val="24"/>
        </w:rPr>
      </w:pPr>
    </w:p>
    <w:p w14:paraId="628FCD0B" w14:textId="66BAE44E" w:rsidR="008E28D4" w:rsidRPr="006836A5" w:rsidRDefault="00663C26" w:rsidP="00321F6A">
      <w:pPr>
        <w:jc w:val="both"/>
        <w:rPr>
          <w:rFonts w:ascii="Calibri" w:hAnsi="Calibri" w:cs="Calibri"/>
          <w:b/>
          <w:bCs/>
          <w:sz w:val="24"/>
          <w:szCs w:val="24"/>
        </w:rPr>
      </w:pPr>
      <w:r w:rsidRPr="672FB3C8">
        <w:rPr>
          <w:rFonts w:ascii="Calibri" w:hAnsi="Calibri" w:cs="Calibri"/>
          <w:sz w:val="24"/>
          <w:szCs w:val="24"/>
        </w:rPr>
        <w:t>This “Local Lettings Policy” (LLP) has been written to cover the allocations of Onward Homes properties for rent on a new build development at Greenes</w:t>
      </w:r>
      <w:r w:rsidR="00442BCC" w:rsidRPr="672FB3C8">
        <w:rPr>
          <w:rFonts w:ascii="Calibri" w:hAnsi="Calibri" w:cs="Calibri"/>
          <w:sz w:val="24"/>
          <w:szCs w:val="24"/>
        </w:rPr>
        <w:t xml:space="preserve"> Road</w:t>
      </w:r>
      <w:r w:rsidRPr="672FB3C8">
        <w:rPr>
          <w:rFonts w:ascii="Calibri" w:hAnsi="Calibri" w:cs="Calibri"/>
          <w:sz w:val="24"/>
          <w:szCs w:val="24"/>
        </w:rPr>
        <w:t xml:space="preserve">.  This development is located within the Whiston and Cronton Ward of Knowsley Metropolitan Borough Council. </w:t>
      </w:r>
      <w:r w:rsidR="008E28D4" w:rsidRPr="672FB3C8">
        <w:rPr>
          <w:rFonts w:ascii="Calibri" w:hAnsi="Calibri" w:cs="Calibri"/>
          <w:sz w:val="24"/>
          <w:szCs w:val="24"/>
        </w:rPr>
        <w:t xml:space="preserve">The </w:t>
      </w:r>
      <w:r w:rsidRPr="672FB3C8">
        <w:rPr>
          <w:rFonts w:ascii="Calibri" w:hAnsi="Calibri" w:cs="Calibri"/>
          <w:sz w:val="24"/>
          <w:szCs w:val="24"/>
        </w:rPr>
        <w:t>development</w:t>
      </w:r>
      <w:r w:rsidR="008E28D4" w:rsidRPr="672FB3C8">
        <w:rPr>
          <w:rFonts w:ascii="Calibri" w:hAnsi="Calibri" w:cs="Calibri"/>
          <w:sz w:val="24"/>
          <w:szCs w:val="24"/>
        </w:rPr>
        <w:t xml:space="preserve"> </w:t>
      </w:r>
      <w:r w:rsidRPr="672FB3C8">
        <w:rPr>
          <w:rFonts w:ascii="Calibri" w:hAnsi="Calibri" w:cs="Calibri"/>
          <w:sz w:val="24"/>
          <w:szCs w:val="24"/>
        </w:rPr>
        <w:t xml:space="preserve">consists of </w:t>
      </w:r>
      <w:r w:rsidR="00C51974" w:rsidRPr="672FB3C8">
        <w:rPr>
          <w:rFonts w:ascii="Calibri" w:hAnsi="Calibri" w:cs="Calibri"/>
          <w:sz w:val="24"/>
          <w:szCs w:val="24"/>
        </w:rPr>
        <w:t>2</w:t>
      </w:r>
      <w:r w:rsidR="0032792D" w:rsidRPr="672FB3C8">
        <w:rPr>
          <w:rFonts w:ascii="Calibri" w:hAnsi="Calibri" w:cs="Calibri"/>
          <w:sz w:val="24"/>
          <w:szCs w:val="24"/>
        </w:rPr>
        <w:t xml:space="preserve">2 </w:t>
      </w:r>
      <w:r w:rsidR="008E28D4" w:rsidRPr="672FB3C8">
        <w:rPr>
          <w:rFonts w:ascii="Calibri" w:hAnsi="Calibri" w:cs="Calibri"/>
          <w:sz w:val="24"/>
          <w:szCs w:val="24"/>
        </w:rPr>
        <w:t>properties</w:t>
      </w:r>
      <w:r w:rsidR="00321F6A" w:rsidRPr="672FB3C8">
        <w:rPr>
          <w:rFonts w:ascii="Calibri" w:hAnsi="Calibri" w:cs="Calibri"/>
          <w:sz w:val="24"/>
          <w:szCs w:val="24"/>
        </w:rPr>
        <w:t xml:space="preserve">, comprising of 10 x </w:t>
      </w:r>
      <w:r w:rsidR="00121F09" w:rsidRPr="672FB3C8">
        <w:rPr>
          <w:rFonts w:ascii="Calibri" w:hAnsi="Calibri" w:cs="Calibri"/>
          <w:sz w:val="24"/>
          <w:szCs w:val="24"/>
        </w:rPr>
        <w:t>1</w:t>
      </w:r>
      <w:r w:rsidR="00121F09">
        <w:rPr>
          <w:rFonts w:ascii="Calibri" w:hAnsi="Calibri" w:cs="Calibri"/>
          <w:sz w:val="24"/>
          <w:szCs w:val="24"/>
        </w:rPr>
        <w:t xml:space="preserve"> </w:t>
      </w:r>
      <w:r w:rsidR="00121F09" w:rsidRPr="672FB3C8">
        <w:rPr>
          <w:rFonts w:ascii="Calibri" w:hAnsi="Calibri" w:cs="Calibri"/>
          <w:sz w:val="24"/>
          <w:szCs w:val="24"/>
        </w:rPr>
        <w:t>bedroom</w:t>
      </w:r>
      <w:r w:rsidR="00321F6A" w:rsidRPr="672FB3C8">
        <w:rPr>
          <w:rFonts w:ascii="Calibri" w:hAnsi="Calibri" w:cs="Calibri"/>
          <w:sz w:val="24"/>
          <w:szCs w:val="24"/>
        </w:rPr>
        <w:t xml:space="preserve"> flats and 12 x </w:t>
      </w:r>
      <w:r w:rsidR="00121F09">
        <w:rPr>
          <w:rFonts w:ascii="Calibri" w:hAnsi="Calibri" w:cs="Calibri"/>
          <w:sz w:val="24"/>
          <w:szCs w:val="24"/>
        </w:rPr>
        <w:t xml:space="preserve">2 </w:t>
      </w:r>
      <w:r w:rsidR="00321F6A" w:rsidRPr="672FB3C8">
        <w:rPr>
          <w:rFonts w:ascii="Calibri" w:hAnsi="Calibri" w:cs="Calibri"/>
          <w:sz w:val="24"/>
          <w:szCs w:val="24"/>
        </w:rPr>
        <w:t>bedroom flats</w:t>
      </w:r>
      <w:r w:rsidR="1AC35DBD" w:rsidRPr="672FB3C8">
        <w:rPr>
          <w:rFonts w:ascii="Calibri" w:hAnsi="Calibri" w:cs="Calibri"/>
          <w:sz w:val="24"/>
          <w:szCs w:val="24"/>
        </w:rPr>
        <w:t xml:space="preserve">. </w:t>
      </w:r>
      <w:r w:rsidR="4CAB0A67" w:rsidRPr="672FB3C8">
        <w:rPr>
          <w:rFonts w:ascii="Calibri" w:hAnsi="Calibri" w:cs="Calibri"/>
          <w:sz w:val="24"/>
          <w:szCs w:val="24"/>
        </w:rPr>
        <w:t>A</w:t>
      </w:r>
      <w:r w:rsidR="00321F6A" w:rsidRPr="672FB3C8">
        <w:rPr>
          <w:rFonts w:ascii="Calibri" w:hAnsi="Calibri" w:cs="Calibri"/>
          <w:sz w:val="24"/>
          <w:szCs w:val="24"/>
        </w:rPr>
        <w:t xml:space="preserve">ll (100%) of the properties will be offered </w:t>
      </w:r>
      <w:r w:rsidR="008E28D4" w:rsidRPr="672FB3C8">
        <w:rPr>
          <w:rFonts w:ascii="Calibri" w:hAnsi="Calibri" w:cs="Calibri"/>
          <w:sz w:val="24"/>
          <w:szCs w:val="24"/>
        </w:rPr>
        <w:t xml:space="preserve">for </w:t>
      </w:r>
      <w:r w:rsidR="0032792D" w:rsidRPr="672FB3C8">
        <w:rPr>
          <w:rFonts w:ascii="Calibri" w:hAnsi="Calibri" w:cs="Calibri"/>
          <w:sz w:val="24"/>
          <w:szCs w:val="24"/>
        </w:rPr>
        <w:t>social</w:t>
      </w:r>
      <w:r w:rsidR="008E28D4" w:rsidRPr="672FB3C8">
        <w:rPr>
          <w:rFonts w:ascii="Calibri" w:hAnsi="Calibri" w:cs="Calibri"/>
          <w:sz w:val="24"/>
          <w:szCs w:val="24"/>
        </w:rPr>
        <w:t xml:space="preserve"> rent. </w:t>
      </w:r>
    </w:p>
    <w:p w14:paraId="61E0465B" w14:textId="77777777" w:rsidR="008E28D4" w:rsidRPr="0006644B" w:rsidRDefault="008E28D4" w:rsidP="008E28D4">
      <w:pPr>
        <w:jc w:val="both"/>
        <w:rPr>
          <w:rFonts w:ascii="Calibri" w:hAnsi="Calibri" w:cs="Calibri"/>
          <w:sz w:val="24"/>
          <w:szCs w:val="24"/>
        </w:rPr>
      </w:pPr>
    </w:p>
    <w:p w14:paraId="73F7EEF1" w14:textId="4066B434" w:rsidR="008E28D4" w:rsidRPr="0006644B" w:rsidRDefault="008E28D4" w:rsidP="008E28D4">
      <w:pPr>
        <w:jc w:val="both"/>
        <w:rPr>
          <w:rFonts w:ascii="Calibri" w:hAnsi="Calibri" w:cs="Calibri"/>
          <w:sz w:val="24"/>
          <w:szCs w:val="24"/>
        </w:rPr>
      </w:pPr>
      <w:r w:rsidRPr="0006644B">
        <w:rPr>
          <w:rFonts w:ascii="Calibri" w:hAnsi="Calibri" w:cs="Calibri"/>
          <w:sz w:val="24"/>
          <w:szCs w:val="24"/>
        </w:rPr>
        <w:t xml:space="preserve">The </w:t>
      </w:r>
      <w:r w:rsidR="00663C26">
        <w:rPr>
          <w:rFonts w:ascii="Calibri" w:hAnsi="Calibri" w:cs="Calibri"/>
          <w:sz w:val="24"/>
          <w:szCs w:val="24"/>
        </w:rPr>
        <w:t>LLP</w:t>
      </w:r>
      <w:r w:rsidRPr="0006644B">
        <w:rPr>
          <w:rFonts w:ascii="Calibri" w:hAnsi="Calibri" w:cs="Calibri"/>
          <w:sz w:val="24"/>
          <w:szCs w:val="24"/>
        </w:rPr>
        <w:t xml:space="preserve"> will run for </w:t>
      </w:r>
      <w:r w:rsidR="0032792D">
        <w:rPr>
          <w:rFonts w:ascii="Calibri" w:hAnsi="Calibri" w:cs="Calibri"/>
          <w:sz w:val="24"/>
          <w:szCs w:val="24"/>
        </w:rPr>
        <w:t xml:space="preserve">the first phase of </w:t>
      </w:r>
      <w:r w:rsidR="0032792D" w:rsidRPr="004A438A">
        <w:rPr>
          <w:rFonts w:ascii="Calibri" w:hAnsi="Calibri" w:cs="Calibri"/>
          <w:sz w:val="24"/>
          <w:szCs w:val="24"/>
        </w:rPr>
        <w:t xml:space="preserve">lets per property. </w:t>
      </w:r>
      <w:r w:rsidR="00FA5E38" w:rsidRPr="004A438A">
        <w:rPr>
          <w:rFonts w:ascii="Calibri" w:hAnsi="Calibri" w:cs="Calibri"/>
          <w:sz w:val="24"/>
          <w:szCs w:val="24"/>
        </w:rPr>
        <w:t xml:space="preserve"> </w:t>
      </w:r>
      <w:r w:rsidR="00121F09" w:rsidRPr="004A438A">
        <w:rPr>
          <w:rFonts w:ascii="Calibri" w:hAnsi="Calibri" w:cs="Calibri"/>
          <w:sz w:val="24"/>
          <w:szCs w:val="24"/>
        </w:rPr>
        <w:t>Following the first round of lets</w:t>
      </w:r>
      <w:r w:rsidRPr="004A438A">
        <w:rPr>
          <w:rFonts w:ascii="Calibri" w:hAnsi="Calibri" w:cs="Calibri"/>
          <w:sz w:val="24"/>
          <w:szCs w:val="24"/>
        </w:rPr>
        <w:t xml:space="preserve">, Onward Homes will review this policy in consultation with </w:t>
      </w:r>
      <w:r w:rsidR="0032792D" w:rsidRPr="004A438A">
        <w:rPr>
          <w:rFonts w:ascii="Calibri" w:hAnsi="Calibri" w:cs="Calibri"/>
          <w:sz w:val="24"/>
          <w:szCs w:val="24"/>
        </w:rPr>
        <w:t>Knowsley</w:t>
      </w:r>
      <w:r w:rsidR="00F959A1" w:rsidRPr="004A438A">
        <w:rPr>
          <w:rFonts w:ascii="Calibri" w:hAnsi="Calibri" w:cs="Calibri"/>
          <w:sz w:val="24"/>
          <w:szCs w:val="24"/>
        </w:rPr>
        <w:t xml:space="preserve"> </w:t>
      </w:r>
      <w:r w:rsidR="00321F6A" w:rsidRPr="004A438A">
        <w:rPr>
          <w:rFonts w:ascii="Calibri" w:hAnsi="Calibri" w:cs="Calibri"/>
          <w:sz w:val="24"/>
          <w:szCs w:val="24"/>
        </w:rPr>
        <w:t xml:space="preserve">Metropolitan </w:t>
      </w:r>
      <w:r w:rsidR="00F959A1" w:rsidRPr="004A438A">
        <w:rPr>
          <w:rFonts w:ascii="Calibri" w:hAnsi="Calibri" w:cs="Calibri"/>
          <w:sz w:val="24"/>
          <w:szCs w:val="24"/>
        </w:rPr>
        <w:t>Borough Council</w:t>
      </w:r>
      <w:r w:rsidRPr="004A438A">
        <w:rPr>
          <w:rFonts w:ascii="Calibri" w:hAnsi="Calibri" w:cs="Calibri"/>
          <w:sz w:val="24"/>
          <w:szCs w:val="24"/>
        </w:rPr>
        <w:t xml:space="preserve">, </w:t>
      </w:r>
      <w:r w:rsidR="005B4AE3" w:rsidRPr="004A438A">
        <w:rPr>
          <w:rFonts w:ascii="Calibri" w:hAnsi="Calibri" w:cs="Calibri"/>
          <w:sz w:val="24"/>
          <w:szCs w:val="24"/>
        </w:rPr>
        <w:t>tenants</w:t>
      </w:r>
      <w:r w:rsidR="005B4AE3" w:rsidRPr="004A438A">
        <w:rPr>
          <w:rFonts w:ascii="Calibri" w:hAnsi="Calibri" w:cs="Calibri"/>
          <w:color w:val="000000"/>
          <w:sz w:val="24"/>
          <w:szCs w:val="24"/>
        </w:rPr>
        <w:t>, local</w:t>
      </w:r>
      <w:r w:rsidRPr="004A438A">
        <w:rPr>
          <w:rFonts w:ascii="Calibri" w:hAnsi="Calibri" w:cs="Calibri"/>
          <w:color w:val="000000"/>
          <w:sz w:val="24"/>
          <w:szCs w:val="24"/>
        </w:rPr>
        <w:t xml:space="preserve"> residents, and Ward</w:t>
      </w:r>
      <w:r w:rsidRPr="004A438A">
        <w:rPr>
          <w:rFonts w:ascii="Calibri" w:hAnsi="Calibri" w:cs="Calibri"/>
          <w:sz w:val="24"/>
          <w:szCs w:val="24"/>
        </w:rPr>
        <w:t xml:space="preserve"> Members.</w:t>
      </w:r>
    </w:p>
    <w:p w14:paraId="0996843F" w14:textId="77777777" w:rsidR="008E28D4" w:rsidRPr="0006644B" w:rsidRDefault="008E28D4" w:rsidP="008E28D4">
      <w:pPr>
        <w:jc w:val="both"/>
        <w:rPr>
          <w:rFonts w:ascii="Calibri" w:hAnsi="Calibri" w:cs="Calibri"/>
          <w:sz w:val="24"/>
          <w:szCs w:val="24"/>
        </w:rPr>
      </w:pPr>
    </w:p>
    <w:p w14:paraId="6E5C1F8E" w14:textId="3A42B5C1" w:rsidR="008E28D4" w:rsidRPr="0006644B" w:rsidRDefault="00385061" w:rsidP="008E28D4">
      <w:pPr>
        <w:numPr>
          <w:ilvl w:val="0"/>
          <w:numId w:val="4"/>
        </w:numPr>
        <w:ind w:hanging="360"/>
        <w:jc w:val="both"/>
        <w:rPr>
          <w:rFonts w:ascii="Calibri" w:hAnsi="Calibri" w:cs="Calibri"/>
          <w:b/>
          <w:sz w:val="24"/>
          <w:szCs w:val="24"/>
        </w:rPr>
      </w:pPr>
      <w:r>
        <w:rPr>
          <w:rFonts w:ascii="Calibri" w:hAnsi="Calibri" w:cs="Calibri"/>
          <w:b/>
          <w:sz w:val="24"/>
          <w:szCs w:val="24"/>
        </w:rPr>
        <w:t>Our Commitments</w:t>
      </w:r>
    </w:p>
    <w:p w14:paraId="10FEAA48" w14:textId="0190E313" w:rsidR="00844B38" w:rsidRPr="0006644B" w:rsidRDefault="00844B38" w:rsidP="00844B38">
      <w:pPr>
        <w:pStyle w:val="NoSpacing"/>
        <w:jc w:val="both"/>
        <w:rPr>
          <w:rFonts w:ascii="Calibri" w:eastAsia="Calibri" w:hAnsi="Calibri" w:cs="Calibri"/>
          <w:lang w:eastAsia="en-US"/>
        </w:rPr>
      </w:pPr>
    </w:p>
    <w:p w14:paraId="548F7E83" w14:textId="307751E6" w:rsidR="008E60A1" w:rsidRPr="0006644B" w:rsidRDefault="008E60A1" w:rsidP="008E60A1">
      <w:pPr>
        <w:jc w:val="both"/>
        <w:rPr>
          <w:rFonts w:ascii="Calibri" w:hAnsi="Calibri" w:cs="Calibri"/>
          <w:sz w:val="24"/>
          <w:szCs w:val="24"/>
        </w:rPr>
      </w:pPr>
      <w:r>
        <w:rPr>
          <w:rFonts w:ascii="Calibri" w:hAnsi="Calibri" w:cs="Calibri"/>
          <w:sz w:val="24"/>
          <w:szCs w:val="24"/>
        </w:rPr>
        <w:t>Onward Homes are committed t</w:t>
      </w:r>
      <w:r w:rsidR="001347A6">
        <w:rPr>
          <w:rFonts w:ascii="Calibri" w:hAnsi="Calibri" w:cs="Calibri"/>
          <w:sz w:val="24"/>
          <w:szCs w:val="24"/>
        </w:rPr>
        <w:t>o</w:t>
      </w:r>
      <w:r>
        <w:rPr>
          <w:rFonts w:ascii="Calibri" w:hAnsi="Calibri" w:cs="Calibri"/>
          <w:sz w:val="24"/>
          <w:szCs w:val="24"/>
        </w:rPr>
        <w:t xml:space="preserve"> a</w:t>
      </w:r>
      <w:r w:rsidRPr="0006644B">
        <w:rPr>
          <w:rFonts w:ascii="Calibri" w:hAnsi="Calibri" w:cs="Calibri"/>
          <w:sz w:val="24"/>
          <w:szCs w:val="24"/>
        </w:rPr>
        <w:t>ll allocations be</w:t>
      </w:r>
      <w:r w:rsidR="001347A6">
        <w:rPr>
          <w:rFonts w:ascii="Calibri" w:hAnsi="Calibri" w:cs="Calibri"/>
          <w:sz w:val="24"/>
          <w:szCs w:val="24"/>
        </w:rPr>
        <w:t>ing</w:t>
      </w:r>
      <w:r w:rsidRPr="0006644B">
        <w:rPr>
          <w:rFonts w:ascii="Calibri" w:hAnsi="Calibri" w:cs="Calibri"/>
          <w:sz w:val="24"/>
          <w:szCs w:val="24"/>
        </w:rPr>
        <w:t xml:space="preserve"> made </w:t>
      </w:r>
      <w:r w:rsidRPr="00892C03">
        <w:rPr>
          <w:rFonts w:ascii="Calibri" w:hAnsi="Calibri" w:cs="Calibri"/>
          <w:sz w:val="24"/>
          <w:szCs w:val="24"/>
        </w:rPr>
        <w:t xml:space="preserve">using </w:t>
      </w:r>
      <w:r>
        <w:rPr>
          <w:rFonts w:ascii="Calibri" w:hAnsi="Calibri" w:cs="Calibri"/>
          <w:sz w:val="24"/>
          <w:szCs w:val="24"/>
        </w:rPr>
        <w:t xml:space="preserve">Knowsley’s </w:t>
      </w:r>
      <w:r w:rsidRPr="0006644B">
        <w:rPr>
          <w:rFonts w:ascii="Calibri" w:hAnsi="Calibri" w:cs="Calibri"/>
          <w:sz w:val="24"/>
          <w:szCs w:val="24"/>
        </w:rPr>
        <w:t xml:space="preserve">choice based letting scheme </w:t>
      </w:r>
      <w:r w:rsidR="001347A6">
        <w:rPr>
          <w:rFonts w:ascii="Calibri" w:hAnsi="Calibri" w:cs="Calibri"/>
          <w:sz w:val="24"/>
          <w:szCs w:val="24"/>
        </w:rPr>
        <w:t>“</w:t>
      </w:r>
      <w:r>
        <w:rPr>
          <w:rFonts w:ascii="Calibri" w:hAnsi="Calibri" w:cs="Calibri"/>
          <w:sz w:val="24"/>
          <w:szCs w:val="24"/>
        </w:rPr>
        <w:t>Property Pool Plus</w:t>
      </w:r>
      <w:r w:rsidR="001347A6">
        <w:rPr>
          <w:rFonts w:ascii="Calibri" w:hAnsi="Calibri" w:cs="Calibri"/>
          <w:sz w:val="24"/>
          <w:szCs w:val="24"/>
        </w:rPr>
        <w:t>”</w:t>
      </w:r>
      <w:r>
        <w:rPr>
          <w:rFonts w:ascii="Calibri" w:hAnsi="Calibri" w:cs="Calibri"/>
          <w:sz w:val="24"/>
          <w:szCs w:val="24"/>
        </w:rPr>
        <w:t xml:space="preserve"> and preference will be afforded to all those who are Knowsley Residents. Onward Homes are committed to ensuring all methods of allocating properties is done with the best interests of the customer, the community and the local authority at the heart of what we do, to achieve a well-balanced and sustainable community.</w:t>
      </w:r>
    </w:p>
    <w:p w14:paraId="1E4D30A0" w14:textId="77777777" w:rsidR="008E28D4" w:rsidRPr="0006644B" w:rsidRDefault="008E28D4" w:rsidP="008E28D4">
      <w:pPr>
        <w:pStyle w:val="NoSpacing"/>
        <w:jc w:val="both"/>
        <w:rPr>
          <w:rFonts w:ascii="Calibri" w:hAnsi="Calibri" w:cs="Calibri"/>
        </w:rPr>
      </w:pPr>
    </w:p>
    <w:p w14:paraId="124F34D5" w14:textId="4B5BE0FC" w:rsidR="008E28D4" w:rsidRDefault="008E28D4" w:rsidP="008E28D4">
      <w:pPr>
        <w:jc w:val="both"/>
        <w:rPr>
          <w:rFonts w:ascii="Calibri" w:hAnsi="Calibri" w:cs="Calibri"/>
          <w:b/>
          <w:bCs/>
          <w:sz w:val="24"/>
          <w:szCs w:val="24"/>
        </w:rPr>
      </w:pPr>
      <w:r w:rsidRPr="672FB3C8">
        <w:rPr>
          <w:rFonts w:ascii="Calibri" w:hAnsi="Calibri" w:cs="Calibri"/>
          <w:sz w:val="24"/>
          <w:szCs w:val="24"/>
        </w:rPr>
        <w:t xml:space="preserve">This </w:t>
      </w:r>
      <w:r w:rsidR="00FA5E38" w:rsidRPr="672FB3C8">
        <w:rPr>
          <w:rFonts w:ascii="Calibri" w:hAnsi="Calibri" w:cs="Calibri"/>
          <w:sz w:val="24"/>
          <w:szCs w:val="24"/>
        </w:rPr>
        <w:t>LLP</w:t>
      </w:r>
      <w:r w:rsidRPr="672FB3C8">
        <w:rPr>
          <w:rFonts w:ascii="Calibri" w:hAnsi="Calibri" w:cs="Calibri"/>
          <w:sz w:val="24"/>
          <w:szCs w:val="24"/>
        </w:rPr>
        <w:t xml:space="preserve"> is intended to balance the requirement to re-house people in housing need with the requirement to ensure the creation of a balanced community. </w:t>
      </w:r>
      <w:r w:rsidR="7A0770EE" w:rsidRPr="672FB3C8">
        <w:rPr>
          <w:rFonts w:ascii="Calibri" w:hAnsi="Calibri" w:cs="Calibri"/>
          <w:sz w:val="24"/>
          <w:szCs w:val="24"/>
        </w:rPr>
        <w:t xml:space="preserve">Through this </w:t>
      </w:r>
      <w:r w:rsidR="00FA5E38" w:rsidRPr="672FB3C8">
        <w:rPr>
          <w:rFonts w:ascii="Calibri" w:hAnsi="Calibri" w:cs="Calibri"/>
          <w:sz w:val="24"/>
          <w:szCs w:val="24"/>
        </w:rPr>
        <w:t>LLP</w:t>
      </w:r>
      <w:r w:rsidR="7DAD3FEC" w:rsidRPr="672FB3C8">
        <w:rPr>
          <w:rFonts w:ascii="Calibri" w:hAnsi="Calibri" w:cs="Calibri"/>
          <w:sz w:val="24"/>
          <w:szCs w:val="24"/>
        </w:rPr>
        <w:t xml:space="preserve">, </w:t>
      </w:r>
      <w:r w:rsidRPr="672FB3C8">
        <w:rPr>
          <w:rFonts w:ascii="Calibri" w:hAnsi="Calibri" w:cs="Calibri"/>
          <w:sz w:val="24"/>
          <w:szCs w:val="24"/>
        </w:rPr>
        <w:t xml:space="preserve">Onward Homes will seek to establish a stable, balanced community for the benefit of all the new residents and </w:t>
      </w:r>
      <w:r w:rsidR="001347A6" w:rsidRPr="672FB3C8">
        <w:rPr>
          <w:rFonts w:ascii="Calibri" w:hAnsi="Calibri" w:cs="Calibri"/>
          <w:sz w:val="24"/>
          <w:szCs w:val="24"/>
        </w:rPr>
        <w:t>also</w:t>
      </w:r>
      <w:r w:rsidRPr="672FB3C8">
        <w:rPr>
          <w:rFonts w:ascii="Calibri" w:hAnsi="Calibri" w:cs="Calibri"/>
          <w:sz w:val="24"/>
          <w:szCs w:val="24"/>
        </w:rPr>
        <w:t xml:space="preserve"> those in the surrounding area</w:t>
      </w:r>
      <w:r w:rsidRPr="672FB3C8">
        <w:rPr>
          <w:rFonts w:ascii="Calibri" w:hAnsi="Calibri" w:cs="Calibri"/>
          <w:b/>
          <w:bCs/>
          <w:sz w:val="24"/>
          <w:szCs w:val="24"/>
        </w:rPr>
        <w:t>.</w:t>
      </w:r>
    </w:p>
    <w:p w14:paraId="03AA8688" w14:textId="77777777" w:rsidR="006E1215" w:rsidRDefault="006E1215" w:rsidP="008E28D4">
      <w:pPr>
        <w:jc w:val="both"/>
        <w:rPr>
          <w:rFonts w:ascii="Calibri" w:hAnsi="Calibri" w:cs="Calibri"/>
          <w:b/>
          <w:bCs/>
          <w:sz w:val="24"/>
          <w:szCs w:val="24"/>
        </w:rPr>
      </w:pPr>
    </w:p>
    <w:p w14:paraId="417EF4C7" w14:textId="7BEC9C13" w:rsidR="008E60A1" w:rsidRDefault="006E1215" w:rsidP="008E60A1">
      <w:pPr>
        <w:jc w:val="both"/>
        <w:rPr>
          <w:rFonts w:ascii="Calibri" w:hAnsi="Calibri" w:cs="Calibri"/>
          <w:sz w:val="24"/>
          <w:szCs w:val="24"/>
        </w:rPr>
      </w:pPr>
      <w:r w:rsidRPr="672FB3C8">
        <w:rPr>
          <w:rFonts w:ascii="Calibri" w:hAnsi="Calibri" w:cs="Calibri"/>
          <w:sz w:val="24"/>
          <w:szCs w:val="24"/>
        </w:rPr>
        <w:t xml:space="preserve">Over the past </w:t>
      </w:r>
      <w:r w:rsidR="00A20C1A" w:rsidRPr="672FB3C8">
        <w:rPr>
          <w:rFonts w:ascii="Calibri" w:hAnsi="Calibri" w:cs="Calibri"/>
          <w:sz w:val="24"/>
          <w:szCs w:val="24"/>
        </w:rPr>
        <w:t>three years</w:t>
      </w:r>
      <w:r w:rsidR="50239A96" w:rsidRPr="672FB3C8">
        <w:rPr>
          <w:rFonts w:ascii="Calibri" w:hAnsi="Calibri" w:cs="Calibri"/>
          <w:sz w:val="24"/>
          <w:szCs w:val="24"/>
        </w:rPr>
        <w:t xml:space="preserve">, </w:t>
      </w:r>
      <w:r w:rsidRPr="672FB3C8">
        <w:rPr>
          <w:rFonts w:ascii="Calibri" w:hAnsi="Calibri" w:cs="Calibri"/>
          <w:sz w:val="24"/>
          <w:szCs w:val="24"/>
        </w:rPr>
        <w:t xml:space="preserve">Onward Homes has allocated </w:t>
      </w:r>
      <w:r w:rsidR="00B02558" w:rsidRPr="672FB3C8">
        <w:rPr>
          <w:rFonts w:ascii="Calibri" w:hAnsi="Calibri" w:cs="Calibri"/>
          <w:sz w:val="24"/>
          <w:szCs w:val="24"/>
        </w:rPr>
        <w:t>several</w:t>
      </w:r>
      <w:r w:rsidRPr="672FB3C8">
        <w:rPr>
          <w:rFonts w:ascii="Calibri" w:hAnsi="Calibri" w:cs="Calibri"/>
          <w:sz w:val="24"/>
          <w:szCs w:val="24"/>
        </w:rPr>
        <w:t xml:space="preserve"> new build developments via the Property Pool Plus Choice Based Lettings Scheme in Wirral and Liverpool. The majority of these have been let without </w:t>
      </w:r>
      <w:r w:rsidR="00D24F4F" w:rsidRPr="672FB3C8">
        <w:rPr>
          <w:rFonts w:ascii="Calibri" w:hAnsi="Calibri" w:cs="Calibri"/>
          <w:sz w:val="24"/>
          <w:szCs w:val="24"/>
        </w:rPr>
        <w:t xml:space="preserve">a </w:t>
      </w:r>
      <w:r w:rsidRPr="672FB3C8">
        <w:rPr>
          <w:rFonts w:ascii="Calibri" w:hAnsi="Calibri" w:cs="Calibri"/>
          <w:sz w:val="24"/>
          <w:szCs w:val="24"/>
        </w:rPr>
        <w:t xml:space="preserve">Local Lettings Plan in place and has resulted in a significant </w:t>
      </w:r>
      <w:r w:rsidR="00B02558" w:rsidRPr="672FB3C8">
        <w:rPr>
          <w:rFonts w:ascii="Calibri" w:hAnsi="Calibri" w:cs="Calibri"/>
          <w:sz w:val="24"/>
          <w:szCs w:val="24"/>
        </w:rPr>
        <w:t>number</w:t>
      </w:r>
      <w:r w:rsidRPr="672FB3C8">
        <w:rPr>
          <w:rFonts w:ascii="Calibri" w:hAnsi="Calibri" w:cs="Calibri"/>
          <w:sz w:val="24"/>
          <w:szCs w:val="24"/>
        </w:rPr>
        <w:t xml:space="preserve"> of problems for the community, the residents, Onward Homes and public services. These issues vary in terms from Crime, Anti-Social Behaviour, Criminal Damage and instability within the communities. The impact has been a huge cost to the communities, residents, Onward </w:t>
      </w:r>
      <w:r w:rsidR="00B02558" w:rsidRPr="672FB3C8">
        <w:rPr>
          <w:rFonts w:ascii="Calibri" w:hAnsi="Calibri" w:cs="Calibri"/>
          <w:sz w:val="24"/>
          <w:szCs w:val="24"/>
        </w:rPr>
        <w:t>Homes,</w:t>
      </w:r>
      <w:r w:rsidRPr="672FB3C8">
        <w:rPr>
          <w:rFonts w:ascii="Calibri" w:hAnsi="Calibri" w:cs="Calibri"/>
          <w:sz w:val="24"/>
          <w:szCs w:val="24"/>
        </w:rPr>
        <w:t xml:space="preserve"> and the public purse. </w:t>
      </w:r>
    </w:p>
    <w:p w14:paraId="372E120A" w14:textId="77777777" w:rsidR="0038569E" w:rsidRPr="00A26E11" w:rsidRDefault="0038569E" w:rsidP="008E60A1">
      <w:pPr>
        <w:jc w:val="both"/>
        <w:rPr>
          <w:rFonts w:ascii="Calibri" w:hAnsi="Calibri" w:cs="Calibri"/>
          <w:sz w:val="24"/>
          <w:szCs w:val="24"/>
        </w:rPr>
      </w:pPr>
    </w:p>
    <w:p w14:paraId="2CB0285B" w14:textId="68E1DF9E" w:rsidR="00E64436" w:rsidRDefault="00B45B72" w:rsidP="008E28D4">
      <w:pPr>
        <w:jc w:val="both"/>
        <w:rPr>
          <w:rFonts w:ascii="Calibri" w:hAnsi="Calibri" w:cs="Calibri"/>
          <w:sz w:val="24"/>
          <w:szCs w:val="24"/>
        </w:rPr>
      </w:pPr>
      <w:r>
        <w:rPr>
          <w:rStyle w:val="cf01"/>
          <w:rFonts w:ascii="Calibri" w:hAnsi="Calibri" w:cs="Calibri"/>
          <w:sz w:val="24"/>
          <w:szCs w:val="24"/>
        </w:rPr>
        <w:t>The De</w:t>
      </w:r>
      <w:r w:rsidR="00AC28C2">
        <w:rPr>
          <w:rStyle w:val="cf01"/>
          <w:rFonts w:ascii="Calibri" w:hAnsi="Calibri" w:cs="Calibri"/>
          <w:sz w:val="24"/>
          <w:szCs w:val="24"/>
        </w:rPr>
        <w:t>partment for Levelling Up, Housing and Communities</w:t>
      </w:r>
      <w:r w:rsidR="00707C82" w:rsidRPr="00A26E11">
        <w:rPr>
          <w:rStyle w:val="cf01"/>
          <w:rFonts w:ascii="Calibri" w:hAnsi="Calibri" w:cs="Calibri"/>
          <w:sz w:val="24"/>
          <w:szCs w:val="24"/>
        </w:rPr>
        <w:t xml:space="preserve"> have recently recognised the positive impact of LLP’s</w:t>
      </w:r>
      <w:r w:rsidR="00AC28C2">
        <w:rPr>
          <w:rStyle w:val="cf01"/>
          <w:rFonts w:ascii="Calibri" w:hAnsi="Calibri" w:cs="Calibri"/>
          <w:sz w:val="24"/>
          <w:szCs w:val="24"/>
        </w:rPr>
        <w:t xml:space="preserve">, </w:t>
      </w:r>
      <w:r w:rsidR="00707C82" w:rsidRPr="00A26E11">
        <w:rPr>
          <w:rStyle w:val="cf01"/>
          <w:rFonts w:ascii="Calibri" w:hAnsi="Calibri" w:cs="Calibri"/>
          <w:sz w:val="24"/>
          <w:szCs w:val="24"/>
        </w:rPr>
        <w:t>evidenc</w:t>
      </w:r>
      <w:r w:rsidR="00AC28C2">
        <w:rPr>
          <w:rStyle w:val="cf01"/>
          <w:rFonts w:ascii="Calibri" w:hAnsi="Calibri" w:cs="Calibri"/>
          <w:sz w:val="24"/>
          <w:szCs w:val="24"/>
        </w:rPr>
        <w:t>ing</w:t>
      </w:r>
      <w:r w:rsidR="00707C82" w:rsidRPr="00A26E11">
        <w:rPr>
          <w:rStyle w:val="cf01"/>
          <w:rFonts w:ascii="Calibri" w:hAnsi="Calibri" w:cs="Calibri"/>
          <w:sz w:val="24"/>
          <w:szCs w:val="24"/>
        </w:rPr>
        <w:t xml:space="preserve"> how they can help create a balanced community. </w:t>
      </w:r>
      <w:r w:rsidR="00AC28C2">
        <w:rPr>
          <w:rStyle w:val="cf01"/>
          <w:rFonts w:ascii="Calibri" w:hAnsi="Calibri" w:cs="Calibri"/>
          <w:sz w:val="24"/>
          <w:szCs w:val="24"/>
        </w:rPr>
        <w:t xml:space="preserve">Onward </w:t>
      </w:r>
      <w:r w:rsidR="0FEB7A19" w:rsidRPr="300CF621">
        <w:rPr>
          <w:rStyle w:val="cf01"/>
          <w:rFonts w:ascii="Calibri" w:hAnsi="Calibri" w:cs="Calibri"/>
          <w:sz w:val="24"/>
          <w:szCs w:val="24"/>
        </w:rPr>
        <w:t>Homes</w:t>
      </w:r>
      <w:r w:rsidR="00707C82" w:rsidRPr="00A26E11">
        <w:rPr>
          <w:rStyle w:val="cf01"/>
          <w:rFonts w:ascii="Calibri" w:hAnsi="Calibri" w:cs="Calibri"/>
          <w:sz w:val="24"/>
          <w:szCs w:val="24"/>
        </w:rPr>
        <w:t xml:space="preserve"> hop</w:t>
      </w:r>
      <w:r w:rsidR="00AC28C2">
        <w:rPr>
          <w:rStyle w:val="cf01"/>
          <w:rFonts w:ascii="Calibri" w:hAnsi="Calibri" w:cs="Calibri"/>
          <w:sz w:val="24"/>
          <w:szCs w:val="24"/>
        </w:rPr>
        <w:t>e</w:t>
      </w:r>
      <w:r w:rsidR="00707C82" w:rsidRPr="00A26E11">
        <w:rPr>
          <w:rStyle w:val="cf01"/>
          <w:rFonts w:ascii="Calibri" w:hAnsi="Calibri" w:cs="Calibri"/>
          <w:sz w:val="24"/>
          <w:szCs w:val="24"/>
        </w:rPr>
        <w:t xml:space="preserve"> that the use of an LLP for this new development will allow us to </w:t>
      </w:r>
      <w:r w:rsidR="00A26E11" w:rsidRPr="00A26E11">
        <w:rPr>
          <w:rStyle w:val="cf01"/>
          <w:rFonts w:ascii="Calibri" w:hAnsi="Calibri" w:cs="Calibri"/>
          <w:sz w:val="24"/>
          <w:szCs w:val="24"/>
        </w:rPr>
        <w:t xml:space="preserve">create the desired balanced community and </w:t>
      </w:r>
      <w:r w:rsidR="00A26E11">
        <w:rPr>
          <w:rStyle w:val="cf01"/>
          <w:rFonts w:ascii="Calibri" w:hAnsi="Calibri" w:cs="Calibri"/>
          <w:sz w:val="24"/>
          <w:szCs w:val="24"/>
        </w:rPr>
        <w:t xml:space="preserve">mitigate the above social problems whilst meeting the housing need of </w:t>
      </w:r>
      <w:r w:rsidR="00906892">
        <w:rPr>
          <w:rStyle w:val="cf01"/>
          <w:rFonts w:ascii="Calibri" w:hAnsi="Calibri" w:cs="Calibri"/>
          <w:sz w:val="24"/>
          <w:szCs w:val="24"/>
        </w:rPr>
        <w:t>Knowsley</w:t>
      </w:r>
      <w:r w:rsidR="00A26E11">
        <w:rPr>
          <w:rStyle w:val="cf01"/>
          <w:rFonts w:ascii="Calibri" w:hAnsi="Calibri" w:cs="Calibri"/>
          <w:sz w:val="24"/>
          <w:szCs w:val="24"/>
        </w:rPr>
        <w:t xml:space="preserve"> residents</w:t>
      </w:r>
      <w:r w:rsidR="00BD4D79">
        <w:rPr>
          <w:rStyle w:val="cf01"/>
          <w:rFonts w:ascii="Calibri" w:hAnsi="Calibri" w:cs="Calibri"/>
          <w:sz w:val="24"/>
          <w:szCs w:val="24"/>
        </w:rPr>
        <w:t>.</w:t>
      </w:r>
    </w:p>
    <w:p w14:paraId="4D23F0C0" w14:textId="77777777" w:rsidR="00A26E11" w:rsidRPr="0006644B" w:rsidRDefault="00A26E11" w:rsidP="008E28D4">
      <w:pPr>
        <w:jc w:val="both"/>
        <w:rPr>
          <w:rFonts w:ascii="Calibri" w:hAnsi="Calibri" w:cs="Calibri"/>
          <w:sz w:val="24"/>
          <w:szCs w:val="24"/>
        </w:rPr>
      </w:pPr>
    </w:p>
    <w:p w14:paraId="4BAEF82A" w14:textId="6577D974" w:rsidR="00800D9A" w:rsidRDefault="55EB77BB" w:rsidP="008E28D4">
      <w:pPr>
        <w:jc w:val="both"/>
        <w:rPr>
          <w:rFonts w:ascii="Calibri" w:hAnsi="Calibri" w:cs="Calibri"/>
          <w:b/>
          <w:sz w:val="24"/>
          <w:szCs w:val="24"/>
        </w:rPr>
      </w:pPr>
      <w:r w:rsidRPr="21231EDC">
        <w:rPr>
          <w:rFonts w:ascii="Calibri" w:hAnsi="Calibri" w:cs="Calibri"/>
          <w:b/>
          <w:bCs/>
          <w:sz w:val="24"/>
          <w:szCs w:val="24"/>
        </w:rPr>
        <w:t>3</w:t>
      </w:r>
      <w:r w:rsidR="008E28D4" w:rsidRPr="0006644B">
        <w:rPr>
          <w:rFonts w:ascii="Calibri" w:hAnsi="Calibri" w:cs="Calibri"/>
          <w:b/>
          <w:sz w:val="24"/>
          <w:szCs w:val="24"/>
        </w:rPr>
        <w:t xml:space="preserve">. </w:t>
      </w:r>
      <w:r w:rsidR="152FB639" w:rsidRPr="778E9201">
        <w:rPr>
          <w:rFonts w:ascii="Calibri" w:hAnsi="Calibri" w:cs="Calibri"/>
          <w:b/>
          <w:bCs/>
          <w:sz w:val="24"/>
          <w:szCs w:val="24"/>
        </w:rPr>
        <w:t>Demand</w:t>
      </w:r>
    </w:p>
    <w:p w14:paraId="56C62917" w14:textId="4044BDE3" w:rsidR="00027D65" w:rsidRDefault="6E40CD20" w:rsidP="10FD963A">
      <w:pPr>
        <w:jc w:val="both"/>
        <w:rPr>
          <w:rFonts w:ascii="Calibri" w:hAnsi="Calibri" w:cs="Calibri"/>
          <w:sz w:val="24"/>
          <w:szCs w:val="24"/>
        </w:rPr>
      </w:pPr>
      <w:r w:rsidRPr="10FD963A">
        <w:rPr>
          <w:rFonts w:ascii="Calibri" w:hAnsi="Calibri" w:cs="Calibri"/>
          <w:sz w:val="24"/>
          <w:szCs w:val="24"/>
        </w:rPr>
        <w:t xml:space="preserve">As of March 2024, there are currently 2,358 active applicants who are eligible for a home on Property Pool Plus within the Knowsley sub region. </w:t>
      </w:r>
      <w:r w:rsidR="00027D65" w:rsidRPr="10FD963A">
        <w:rPr>
          <w:rFonts w:ascii="Calibri" w:hAnsi="Calibri" w:cs="Calibri"/>
          <w:sz w:val="24"/>
          <w:szCs w:val="24"/>
        </w:rPr>
        <w:t xml:space="preserve">The </w:t>
      </w:r>
      <w:r w:rsidR="009D643C" w:rsidRPr="10FD963A">
        <w:rPr>
          <w:rFonts w:ascii="Calibri" w:hAnsi="Calibri" w:cs="Calibri"/>
          <w:sz w:val="24"/>
          <w:szCs w:val="24"/>
        </w:rPr>
        <w:t xml:space="preserve">breakdown of applicants on </w:t>
      </w:r>
      <w:r w:rsidR="00027D65" w:rsidRPr="10FD963A">
        <w:rPr>
          <w:rFonts w:ascii="Calibri" w:hAnsi="Calibri" w:cs="Calibri"/>
          <w:sz w:val="24"/>
          <w:szCs w:val="24"/>
        </w:rPr>
        <w:t>Knowsley</w:t>
      </w:r>
      <w:r w:rsidR="62B186C5" w:rsidRPr="10FD963A">
        <w:rPr>
          <w:rFonts w:ascii="Calibri" w:hAnsi="Calibri" w:cs="Calibri"/>
          <w:sz w:val="24"/>
          <w:szCs w:val="24"/>
        </w:rPr>
        <w:t>’s</w:t>
      </w:r>
      <w:r w:rsidR="00027D65" w:rsidRPr="10FD963A" w:rsidDel="00027D65">
        <w:rPr>
          <w:rFonts w:ascii="Calibri" w:hAnsi="Calibri" w:cs="Calibri"/>
          <w:sz w:val="24"/>
          <w:szCs w:val="24"/>
        </w:rPr>
        <w:t xml:space="preserve"> </w:t>
      </w:r>
      <w:r w:rsidR="009D643C" w:rsidRPr="10FD963A">
        <w:rPr>
          <w:rFonts w:ascii="Calibri" w:hAnsi="Calibri" w:cs="Calibri"/>
          <w:sz w:val="24"/>
          <w:szCs w:val="24"/>
        </w:rPr>
        <w:t xml:space="preserve">Housing Register </w:t>
      </w:r>
      <w:r w:rsidR="00027D65" w:rsidRPr="10FD963A">
        <w:rPr>
          <w:rFonts w:ascii="Calibri" w:hAnsi="Calibri" w:cs="Calibri"/>
          <w:sz w:val="24"/>
          <w:szCs w:val="24"/>
        </w:rPr>
        <w:t>are as follows</w:t>
      </w:r>
      <w:r w:rsidR="00E32EDE">
        <w:rPr>
          <w:rFonts w:ascii="Calibri" w:hAnsi="Calibri" w:cs="Calibri"/>
          <w:sz w:val="24"/>
          <w:szCs w:val="24"/>
        </w:rPr>
        <w:t>:</w:t>
      </w:r>
    </w:p>
    <w:p w14:paraId="0B23486D" w14:textId="77777777" w:rsidR="00027D65" w:rsidRDefault="00027D65" w:rsidP="008E28D4">
      <w:pPr>
        <w:jc w:val="both"/>
        <w:rPr>
          <w:rFonts w:ascii="Calibri" w:hAnsi="Calibri" w:cs="Calibri"/>
          <w:bCs/>
          <w:sz w:val="24"/>
          <w:szCs w:val="24"/>
        </w:rPr>
      </w:pPr>
    </w:p>
    <w:tbl>
      <w:tblPr>
        <w:tblW w:w="0" w:type="auto"/>
        <w:tblCellMar>
          <w:left w:w="0" w:type="dxa"/>
          <w:right w:w="0" w:type="dxa"/>
        </w:tblCellMar>
        <w:tblLook w:val="04A0" w:firstRow="1" w:lastRow="0" w:firstColumn="1" w:lastColumn="0" w:noHBand="0" w:noVBand="1"/>
      </w:tblPr>
      <w:tblGrid>
        <w:gridCol w:w="1751"/>
        <w:gridCol w:w="960"/>
        <w:gridCol w:w="960"/>
        <w:gridCol w:w="960"/>
        <w:gridCol w:w="960"/>
        <w:gridCol w:w="960"/>
        <w:gridCol w:w="960"/>
        <w:gridCol w:w="960"/>
        <w:gridCol w:w="746"/>
      </w:tblGrid>
      <w:tr w:rsidR="00027D65" w14:paraId="0A08F929" w14:textId="77777777" w:rsidTr="672FB3C8">
        <w:tc>
          <w:tcPr>
            <w:tcW w:w="17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9E34BE" w14:textId="51C5426C" w:rsidR="00027D65" w:rsidRPr="006668D8" w:rsidRDefault="40FE8DFD" w:rsidP="672FB3C8">
            <w:pPr>
              <w:rPr>
                <w:rFonts w:ascii="Calibri" w:eastAsia="Calibri" w:hAnsi="Calibri" w:cs="Calibri"/>
                <w:sz w:val="22"/>
                <w:szCs w:val="22"/>
                <w:lang w:eastAsia="en-GB"/>
              </w:rPr>
            </w:pPr>
            <w:r w:rsidRPr="672FB3C8">
              <w:rPr>
                <w:rFonts w:ascii="Calibri" w:eastAsia="Calibri" w:hAnsi="Calibri" w:cs="Calibri"/>
                <w:sz w:val="22"/>
                <w:szCs w:val="22"/>
                <w:lang w:eastAsia="en-GB"/>
              </w:rPr>
              <w:lastRenderedPageBreak/>
              <w:t>Knowsley Housing Band</w:t>
            </w:r>
            <w:r w:rsidR="00027D65" w:rsidRPr="006668D8">
              <w:rPr>
                <w:rFonts w:ascii="Calibri" w:eastAsia="Calibri" w:hAnsi="Calibri" w:cs="Calibri"/>
                <w:sz w:val="22"/>
                <w:szCs w:val="22"/>
                <w:lang w:eastAsia="en-GB"/>
              </w:rPr>
              <w:t xml:space="preserve"> </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475A513D"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1 bed</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EEB606F"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 xml:space="preserve">2 bed </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6DF62E8"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3 bed</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2E23D5D"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4 bed</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4C5905E1"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 xml:space="preserve">5 bed </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E437490"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6+ bed</w:t>
            </w:r>
          </w:p>
        </w:tc>
        <w:tc>
          <w:tcPr>
            <w:tcW w:w="9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4CDB7A66"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 xml:space="preserve">Total </w:t>
            </w:r>
          </w:p>
        </w:tc>
        <w:tc>
          <w:tcPr>
            <w:tcW w:w="72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AF37CD7"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w:t>
            </w:r>
          </w:p>
        </w:tc>
      </w:tr>
      <w:tr w:rsidR="00027D65" w14:paraId="0AA6AF3B" w14:textId="77777777" w:rsidTr="672FB3C8">
        <w:tc>
          <w:tcPr>
            <w:tcW w:w="172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54B3E16"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Band A</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0299A192"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110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5AD80DC4"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75</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2D950D18"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28</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4A2429FC"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20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686B8156"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6</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7F4DA372"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2</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60843922"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241</w:t>
            </w:r>
          </w:p>
        </w:tc>
        <w:tc>
          <w:tcPr>
            <w:tcW w:w="746" w:type="dxa"/>
            <w:tcBorders>
              <w:top w:val="nil"/>
              <w:left w:val="nil"/>
              <w:bottom w:val="single" w:sz="8" w:space="0" w:color="A3A3A3"/>
              <w:right w:val="single" w:sz="8" w:space="0" w:color="A3A3A3"/>
            </w:tcBorders>
            <w:tcMar>
              <w:top w:w="80" w:type="dxa"/>
              <w:left w:w="80" w:type="dxa"/>
              <w:bottom w:w="80" w:type="dxa"/>
              <w:right w:w="80" w:type="dxa"/>
            </w:tcMar>
            <w:hideMark/>
          </w:tcPr>
          <w:p w14:paraId="4B90BCC5"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10.2%</w:t>
            </w:r>
          </w:p>
        </w:tc>
      </w:tr>
      <w:tr w:rsidR="00027D65" w14:paraId="5CB3CB8C" w14:textId="77777777" w:rsidTr="672FB3C8">
        <w:tc>
          <w:tcPr>
            <w:tcW w:w="172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79D1FDC"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 xml:space="preserve">Band B </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21DC01F5"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453</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1043CEFA"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416</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1467FE6D"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214</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74985883"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54</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13888D48"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5</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78A0C803"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4B261885"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1142</w:t>
            </w:r>
          </w:p>
        </w:tc>
        <w:tc>
          <w:tcPr>
            <w:tcW w:w="746" w:type="dxa"/>
            <w:tcBorders>
              <w:top w:val="nil"/>
              <w:left w:val="nil"/>
              <w:bottom w:val="single" w:sz="8" w:space="0" w:color="A3A3A3"/>
              <w:right w:val="single" w:sz="8" w:space="0" w:color="A3A3A3"/>
            </w:tcBorders>
            <w:tcMar>
              <w:top w:w="80" w:type="dxa"/>
              <w:left w:w="80" w:type="dxa"/>
              <w:bottom w:w="80" w:type="dxa"/>
              <w:right w:w="80" w:type="dxa"/>
            </w:tcMar>
            <w:hideMark/>
          </w:tcPr>
          <w:p w14:paraId="0F8782DB"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48.4%</w:t>
            </w:r>
          </w:p>
        </w:tc>
      </w:tr>
      <w:tr w:rsidR="00027D65" w14:paraId="6A9E00B5" w14:textId="77777777" w:rsidTr="672FB3C8">
        <w:tc>
          <w:tcPr>
            <w:tcW w:w="172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8949857"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Band C</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77A543AE"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448</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1A2250A4"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387</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317C62BE"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134</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0BE4F196"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6</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6914C3CF"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5CA8BE81"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50A140B1"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975</w:t>
            </w:r>
          </w:p>
        </w:tc>
        <w:tc>
          <w:tcPr>
            <w:tcW w:w="746" w:type="dxa"/>
            <w:tcBorders>
              <w:top w:val="nil"/>
              <w:left w:val="nil"/>
              <w:bottom w:val="single" w:sz="8" w:space="0" w:color="A3A3A3"/>
              <w:right w:val="single" w:sz="8" w:space="0" w:color="A3A3A3"/>
            </w:tcBorders>
            <w:tcMar>
              <w:top w:w="80" w:type="dxa"/>
              <w:left w:w="80" w:type="dxa"/>
              <w:bottom w:w="80" w:type="dxa"/>
              <w:right w:w="80" w:type="dxa"/>
            </w:tcMar>
            <w:hideMark/>
          </w:tcPr>
          <w:p w14:paraId="553B9A5F"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41.4%</w:t>
            </w:r>
          </w:p>
        </w:tc>
      </w:tr>
      <w:tr w:rsidR="00027D65" w14:paraId="4815EB3C" w14:textId="77777777" w:rsidTr="672FB3C8">
        <w:tc>
          <w:tcPr>
            <w:tcW w:w="172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A8E038F"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 xml:space="preserve">Total </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452B5CB1"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1011</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2B8FC0AD"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878</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44DF8689"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376</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4E391FDE"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80</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00886949"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11</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0C3BBCA3"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2</w:t>
            </w:r>
          </w:p>
        </w:tc>
        <w:tc>
          <w:tcPr>
            <w:tcW w:w="960" w:type="dxa"/>
            <w:tcBorders>
              <w:top w:val="nil"/>
              <w:left w:val="nil"/>
              <w:bottom w:val="single" w:sz="8" w:space="0" w:color="A3A3A3"/>
              <w:right w:val="single" w:sz="8" w:space="0" w:color="A3A3A3"/>
            </w:tcBorders>
            <w:tcMar>
              <w:top w:w="80" w:type="dxa"/>
              <w:left w:w="80" w:type="dxa"/>
              <w:bottom w:w="80" w:type="dxa"/>
              <w:right w:w="80" w:type="dxa"/>
            </w:tcMar>
            <w:hideMark/>
          </w:tcPr>
          <w:p w14:paraId="6AC065A5"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b/>
                <w:bCs/>
                <w:sz w:val="22"/>
                <w:szCs w:val="22"/>
                <w:lang w:eastAsia="en-GB"/>
              </w:rPr>
              <w:t>2358</w:t>
            </w:r>
          </w:p>
        </w:tc>
        <w:tc>
          <w:tcPr>
            <w:tcW w:w="720" w:type="dxa"/>
            <w:tcBorders>
              <w:top w:val="nil"/>
              <w:left w:val="nil"/>
              <w:bottom w:val="single" w:sz="8" w:space="0" w:color="A3A3A3"/>
              <w:right w:val="single" w:sz="8" w:space="0" w:color="A3A3A3"/>
            </w:tcBorders>
            <w:tcMar>
              <w:top w:w="80" w:type="dxa"/>
              <w:left w:w="80" w:type="dxa"/>
              <w:bottom w:w="80" w:type="dxa"/>
              <w:right w:w="80" w:type="dxa"/>
            </w:tcMar>
            <w:hideMark/>
          </w:tcPr>
          <w:p w14:paraId="72086BA1" w14:textId="77777777" w:rsidR="00027D65" w:rsidRPr="006668D8" w:rsidRDefault="00027D65" w:rsidP="672FB3C8">
            <w:pPr>
              <w:rPr>
                <w:rFonts w:ascii="Calibri" w:eastAsia="Calibri" w:hAnsi="Calibri" w:cs="Calibri"/>
                <w:sz w:val="22"/>
                <w:szCs w:val="22"/>
                <w:lang w:eastAsia="en-GB"/>
              </w:rPr>
            </w:pPr>
            <w:r w:rsidRPr="006668D8">
              <w:rPr>
                <w:rFonts w:ascii="Calibri" w:eastAsia="Calibri" w:hAnsi="Calibri" w:cs="Calibri"/>
                <w:sz w:val="22"/>
                <w:szCs w:val="22"/>
                <w:lang w:eastAsia="en-GB"/>
              </w:rPr>
              <w:t>100%</w:t>
            </w:r>
          </w:p>
        </w:tc>
      </w:tr>
    </w:tbl>
    <w:p w14:paraId="0BEE3E6F" w14:textId="77777777" w:rsidR="00027D65" w:rsidRPr="0006644B" w:rsidRDefault="00027D65" w:rsidP="008E28D4">
      <w:pPr>
        <w:jc w:val="both"/>
        <w:rPr>
          <w:rFonts w:ascii="Calibri" w:hAnsi="Calibri" w:cs="Calibri"/>
          <w:bCs/>
          <w:sz w:val="24"/>
          <w:szCs w:val="24"/>
        </w:rPr>
      </w:pPr>
    </w:p>
    <w:p w14:paraId="4DDDCF70" w14:textId="77777777" w:rsidR="008E28D4" w:rsidRPr="0006644B" w:rsidRDefault="008E28D4" w:rsidP="008E28D4">
      <w:pPr>
        <w:jc w:val="both"/>
        <w:rPr>
          <w:rFonts w:ascii="Calibri" w:hAnsi="Calibri" w:cs="Calibri"/>
          <w:bCs/>
          <w:sz w:val="24"/>
          <w:szCs w:val="24"/>
        </w:rPr>
      </w:pPr>
    </w:p>
    <w:p w14:paraId="641362D9" w14:textId="53AA533D" w:rsidR="2B0D31A9" w:rsidRPr="00E0325B" w:rsidRDefault="004E6450" w:rsidP="00E07CAB">
      <w:pPr>
        <w:pStyle w:val="ListParagraph"/>
        <w:numPr>
          <w:ilvl w:val="0"/>
          <w:numId w:val="9"/>
        </w:numPr>
        <w:jc w:val="both"/>
        <w:rPr>
          <w:rFonts w:ascii="Calibri" w:hAnsi="Calibri" w:cs="Calibri"/>
          <w:b/>
        </w:rPr>
      </w:pPr>
      <w:r>
        <w:rPr>
          <w:rFonts w:ascii="Calibri" w:hAnsi="Calibri" w:cs="Calibri"/>
          <w:b/>
          <w:bCs/>
        </w:rPr>
        <w:t>A</w:t>
      </w:r>
      <w:r w:rsidR="176D27C6" w:rsidRPr="00A26E11">
        <w:rPr>
          <w:rFonts w:ascii="Calibri" w:hAnsi="Calibri" w:cs="Calibri"/>
          <w:b/>
          <w:bCs/>
        </w:rPr>
        <w:t xml:space="preserve">llocation </w:t>
      </w:r>
      <w:r>
        <w:rPr>
          <w:rFonts w:ascii="Calibri" w:hAnsi="Calibri" w:cs="Calibri"/>
          <w:b/>
          <w:bCs/>
        </w:rPr>
        <w:t>criteria and selection</w:t>
      </w:r>
    </w:p>
    <w:p w14:paraId="6812582B" w14:textId="77777777" w:rsidR="004B5BF7" w:rsidRDefault="004B5BF7" w:rsidP="008735DB">
      <w:pPr>
        <w:jc w:val="both"/>
        <w:rPr>
          <w:rFonts w:ascii="Calibri" w:hAnsi="Calibri" w:cs="Calibri"/>
          <w:sz w:val="24"/>
          <w:szCs w:val="24"/>
        </w:rPr>
      </w:pPr>
    </w:p>
    <w:p w14:paraId="1A926BAF" w14:textId="12AD02BE" w:rsidR="008735DB" w:rsidRPr="009778E6" w:rsidRDefault="004D3B05" w:rsidP="008735DB">
      <w:pPr>
        <w:jc w:val="both"/>
        <w:rPr>
          <w:rFonts w:ascii="Calibri" w:hAnsi="Calibri" w:cs="Calibri"/>
          <w:sz w:val="32"/>
          <w:szCs w:val="32"/>
        </w:rPr>
      </w:pPr>
      <w:r w:rsidRPr="009778E6">
        <w:rPr>
          <w:rFonts w:ascii="Calibri" w:hAnsi="Calibri" w:cs="Calibri"/>
          <w:sz w:val="24"/>
          <w:szCs w:val="24"/>
        </w:rPr>
        <w:t xml:space="preserve">All 22 </w:t>
      </w:r>
      <w:r w:rsidR="542CA462" w:rsidRPr="009778E6">
        <w:rPr>
          <w:rFonts w:ascii="Calibri" w:hAnsi="Calibri" w:cs="Calibri"/>
          <w:sz w:val="24"/>
          <w:szCs w:val="24"/>
        </w:rPr>
        <w:t>properties</w:t>
      </w:r>
      <w:r w:rsidRPr="009778E6">
        <w:rPr>
          <w:rFonts w:ascii="Calibri" w:hAnsi="Calibri" w:cs="Calibri"/>
          <w:sz w:val="24"/>
          <w:szCs w:val="24"/>
        </w:rPr>
        <w:t xml:space="preserve"> (100%) will be advertised through Property Pool Plus, in accordance with the </w:t>
      </w:r>
      <w:r w:rsidR="004B5BF7" w:rsidRPr="009778E6">
        <w:rPr>
          <w:rFonts w:ascii="Calibri" w:hAnsi="Calibri" w:cs="Calibri"/>
          <w:sz w:val="24"/>
          <w:szCs w:val="24"/>
        </w:rPr>
        <w:t>criteria</w:t>
      </w:r>
      <w:r w:rsidRPr="009778E6">
        <w:rPr>
          <w:rFonts w:ascii="Calibri" w:hAnsi="Calibri" w:cs="Calibri"/>
          <w:sz w:val="24"/>
          <w:szCs w:val="24"/>
        </w:rPr>
        <w:t xml:space="preserve"> detailed </w:t>
      </w:r>
      <w:r w:rsidR="004B5BF7" w:rsidRPr="009778E6">
        <w:rPr>
          <w:rFonts w:ascii="Calibri" w:hAnsi="Calibri" w:cs="Calibri"/>
          <w:sz w:val="24"/>
          <w:szCs w:val="24"/>
        </w:rPr>
        <w:t xml:space="preserve">within this policy. </w:t>
      </w:r>
      <w:r w:rsidR="000E1007" w:rsidRPr="009778E6">
        <w:rPr>
          <w:rFonts w:ascii="Calibri" w:hAnsi="Calibri" w:cs="Calibri"/>
          <w:sz w:val="24"/>
          <w:szCs w:val="24"/>
        </w:rPr>
        <w:t xml:space="preserve">Property adverts will clearly state on the advert </w:t>
      </w:r>
      <w:r w:rsidR="00D2262B" w:rsidRPr="009778E6">
        <w:rPr>
          <w:rFonts w:ascii="Calibri" w:hAnsi="Calibri" w:cs="Calibri"/>
          <w:sz w:val="24"/>
          <w:szCs w:val="24"/>
        </w:rPr>
        <w:t xml:space="preserve">that allocations are subject to this </w:t>
      </w:r>
      <w:r w:rsidR="00C86568" w:rsidRPr="009778E6">
        <w:rPr>
          <w:rFonts w:ascii="Calibri" w:hAnsi="Calibri" w:cs="Calibri"/>
          <w:sz w:val="24"/>
          <w:szCs w:val="24"/>
        </w:rPr>
        <w:t>policy and</w:t>
      </w:r>
      <w:r w:rsidR="00D2262B" w:rsidRPr="009778E6">
        <w:rPr>
          <w:rFonts w:ascii="Calibri" w:hAnsi="Calibri" w:cs="Calibri"/>
          <w:sz w:val="24"/>
          <w:szCs w:val="24"/>
        </w:rPr>
        <w:t xml:space="preserve"> will clearly state where preference are to be given </w:t>
      </w:r>
      <w:r w:rsidR="002B5BDA" w:rsidRPr="009778E6">
        <w:rPr>
          <w:rFonts w:ascii="Calibri" w:hAnsi="Calibri" w:cs="Calibri"/>
          <w:sz w:val="24"/>
          <w:szCs w:val="24"/>
        </w:rPr>
        <w:t xml:space="preserve">applicants </w:t>
      </w:r>
      <w:r w:rsidR="00746477" w:rsidRPr="009778E6">
        <w:rPr>
          <w:rFonts w:ascii="Calibri" w:hAnsi="Calibri" w:cs="Calibri"/>
          <w:sz w:val="24"/>
          <w:szCs w:val="24"/>
        </w:rPr>
        <w:t xml:space="preserve">meeting </w:t>
      </w:r>
      <w:r w:rsidR="00C86568" w:rsidRPr="009778E6">
        <w:rPr>
          <w:rFonts w:ascii="Calibri" w:hAnsi="Calibri" w:cs="Calibri"/>
          <w:sz w:val="24"/>
          <w:szCs w:val="24"/>
        </w:rPr>
        <w:t>specific criteria</w:t>
      </w:r>
      <w:r w:rsidR="00746477" w:rsidRPr="009778E6">
        <w:rPr>
          <w:rFonts w:ascii="Calibri" w:hAnsi="Calibri" w:cs="Calibri"/>
          <w:sz w:val="24"/>
          <w:szCs w:val="24"/>
        </w:rPr>
        <w:t xml:space="preserve"> set out in this LLP. </w:t>
      </w:r>
      <w:r w:rsidR="00C86568" w:rsidRPr="009778E6">
        <w:rPr>
          <w:rFonts w:ascii="Calibri" w:hAnsi="Calibri" w:cs="Calibri"/>
          <w:sz w:val="24"/>
          <w:szCs w:val="24"/>
        </w:rPr>
        <w:t xml:space="preserve">This will help applicant when making their choice about whether to bid on the property. </w:t>
      </w:r>
    </w:p>
    <w:p w14:paraId="363A0896" w14:textId="77777777" w:rsidR="004B5BF7" w:rsidRDefault="004B5BF7" w:rsidP="00075635">
      <w:pPr>
        <w:jc w:val="both"/>
        <w:rPr>
          <w:rFonts w:ascii="Calibri" w:hAnsi="Calibri" w:cs="Calibri"/>
          <w:sz w:val="24"/>
          <w:szCs w:val="24"/>
        </w:rPr>
      </w:pPr>
    </w:p>
    <w:p w14:paraId="74D51A52" w14:textId="15A0061E" w:rsidR="007C06C5" w:rsidRPr="00DE70AA" w:rsidRDefault="004B5BF7" w:rsidP="00075635">
      <w:pPr>
        <w:jc w:val="both"/>
        <w:rPr>
          <w:rFonts w:ascii="Calibri" w:hAnsi="Calibri" w:cs="Calibri"/>
          <w:sz w:val="24"/>
          <w:szCs w:val="24"/>
        </w:rPr>
      </w:pPr>
      <w:r w:rsidRPr="00DE70AA">
        <w:rPr>
          <w:rFonts w:ascii="Calibri" w:hAnsi="Calibri" w:cs="Calibri"/>
          <w:sz w:val="24"/>
          <w:szCs w:val="24"/>
        </w:rPr>
        <w:t>A</w:t>
      </w:r>
      <w:r w:rsidR="00B161B6" w:rsidRPr="00DE70AA">
        <w:rPr>
          <w:rFonts w:ascii="Calibri" w:hAnsi="Calibri" w:cs="Calibri"/>
          <w:sz w:val="24"/>
          <w:szCs w:val="24"/>
        </w:rPr>
        <w:t xml:space="preserve">ll </w:t>
      </w:r>
      <w:r w:rsidR="00F959A1" w:rsidRPr="00DE70AA">
        <w:rPr>
          <w:rFonts w:ascii="Calibri" w:hAnsi="Calibri" w:cs="Calibri"/>
          <w:sz w:val="24"/>
          <w:szCs w:val="24"/>
        </w:rPr>
        <w:t>2</w:t>
      </w:r>
      <w:r w:rsidR="0032792D" w:rsidRPr="00DE70AA">
        <w:rPr>
          <w:rFonts w:ascii="Calibri" w:hAnsi="Calibri" w:cs="Calibri"/>
          <w:sz w:val="24"/>
          <w:szCs w:val="24"/>
        </w:rPr>
        <w:t>2</w:t>
      </w:r>
      <w:r w:rsidR="008E28D4" w:rsidRPr="00DE70AA">
        <w:rPr>
          <w:rFonts w:ascii="Calibri" w:hAnsi="Calibri" w:cs="Calibri"/>
          <w:sz w:val="24"/>
          <w:szCs w:val="24"/>
        </w:rPr>
        <w:t xml:space="preserve"> </w:t>
      </w:r>
      <w:r w:rsidR="62C6DC4A" w:rsidRPr="00DE70AA">
        <w:rPr>
          <w:rFonts w:ascii="Calibri" w:hAnsi="Calibri" w:cs="Calibri"/>
          <w:sz w:val="24"/>
          <w:szCs w:val="24"/>
        </w:rPr>
        <w:t>properties</w:t>
      </w:r>
      <w:r w:rsidR="00B161B6" w:rsidRPr="00DE70AA">
        <w:rPr>
          <w:rFonts w:ascii="Calibri" w:hAnsi="Calibri" w:cs="Calibri"/>
          <w:sz w:val="24"/>
          <w:szCs w:val="24"/>
        </w:rPr>
        <w:t xml:space="preserve"> </w:t>
      </w:r>
      <w:r w:rsidR="00027D65" w:rsidRPr="00DE70AA">
        <w:rPr>
          <w:rFonts w:ascii="Calibri" w:hAnsi="Calibri" w:cs="Calibri"/>
          <w:sz w:val="24"/>
          <w:szCs w:val="24"/>
        </w:rPr>
        <w:t xml:space="preserve">will </w:t>
      </w:r>
      <w:r w:rsidR="00B161B6" w:rsidRPr="00DE70AA">
        <w:rPr>
          <w:rFonts w:ascii="Calibri" w:hAnsi="Calibri" w:cs="Calibri"/>
          <w:sz w:val="24"/>
          <w:szCs w:val="24"/>
        </w:rPr>
        <w:t>be a</w:t>
      </w:r>
      <w:r w:rsidR="56098F86" w:rsidRPr="00DE70AA">
        <w:rPr>
          <w:rFonts w:ascii="Calibri" w:hAnsi="Calibri" w:cs="Calibri"/>
          <w:sz w:val="24"/>
          <w:szCs w:val="24"/>
        </w:rPr>
        <w:t xml:space="preserve">llocated to households </w:t>
      </w:r>
      <w:r w:rsidR="0864C631" w:rsidRPr="00DE70AA">
        <w:rPr>
          <w:rFonts w:ascii="Calibri" w:hAnsi="Calibri" w:cs="Calibri"/>
          <w:sz w:val="24"/>
          <w:szCs w:val="24"/>
        </w:rPr>
        <w:t xml:space="preserve">who </w:t>
      </w:r>
      <w:r w:rsidR="755D7AEF" w:rsidRPr="00DE70AA">
        <w:rPr>
          <w:rFonts w:ascii="Calibri" w:hAnsi="Calibri" w:cs="Calibri"/>
          <w:sz w:val="24"/>
          <w:szCs w:val="24"/>
        </w:rPr>
        <w:t>have</w:t>
      </w:r>
      <w:r w:rsidR="0864C631" w:rsidRPr="00DE70AA">
        <w:rPr>
          <w:rFonts w:ascii="Calibri" w:hAnsi="Calibri" w:cs="Calibri"/>
          <w:sz w:val="24"/>
          <w:szCs w:val="24"/>
        </w:rPr>
        <w:t xml:space="preserve"> been awarded a Band A or Band B priority for rehousing.</w:t>
      </w:r>
      <w:r w:rsidR="0032640B" w:rsidRPr="00DE70AA">
        <w:rPr>
          <w:rFonts w:ascii="Calibri" w:hAnsi="Calibri" w:cs="Calibri"/>
          <w:sz w:val="24"/>
          <w:szCs w:val="24"/>
        </w:rPr>
        <w:t xml:space="preserve"> </w:t>
      </w:r>
      <w:r w:rsidR="00DE70AA" w:rsidRPr="00DE70AA">
        <w:rPr>
          <w:rStyle w:val="normaltextrun"/>
          <w:rFonts w:ascii="Calibri" w:hAnsi="Calibri" w:cs="Calibri"/>
          <w:color w:val="000000"/>
          <w:sz w:val="24"/>
          <w:szCs w:val="24"/>
          <w:shd w:val="clear" w:color="auto" w:fill="FFFFFF"/>
        </w:rPr>
        <w:t>This will ensure that allocations are made to household who have been assessed as having a priority to move whilst also supporting Onward Homes in establishing a settled and sustainable community. </w:t>
      </w:r>
      <w:r w:rsidR="00DE70AA" w:rsidRPr="00DE70AA">
        <w:rPr>
          <w:rStyle w:val="eop"/>
          <w:rFonts w:ascii="Calibri" w:hAnsi="Calibri" w:cs="Calibri"/>
          <w:color w:val="000000"/>
          <w:sz w:val="24"/>
          <w:szCs w:val="24"/>
          <w:shd w:val="clear" w:color="auto" w:fill="FFFFFF"/>
        </w:rPr>
        <w:t> </w:t>
      </w:r>
      <w:r w:rsidR="00DE70AA" w:rsidRPr="00DE70AA">
        <w:rPr>
          <w:rFonts w:ascii="Calibri" w:hAnsi="Calibri" w:cs="Calibri"/>
          <w:sz w:val="24"/>
          <w:szCs w:val="24"/>
        </w:rPr>
        <w:t>T</w:t>
      </w:r>
      <w:r w:rsidR="007D68EC" w:rsidRPr="00DE70AA">
        <w:rPr>
          <w:rFonts w:ascii="Calibri" w:hAnsi="Calibri" w:cs="Calibri"/>
          <w:sz w:val="24"/>
          <w:szCs w:val="24"/>
        </w:rPr>
        <w:t>he allocation</w:t>
      </w:r>
      <w:r w:rsidR="45AA9152" w:rsidRPr="00DE70AA">
        <w:rPr>
          <w:rFonts w:ascii="Calibri" w:hAnsi="Calibri" w:cs="Calibri"/>
          <w:sz w:val="24"/>
          <w:szCs w:val="24"/>
        </w:rPr>
        <w:t xml:space="preserve"> of properties</w:t>
      </w:r>
      <w:r w:rsidR="007D68EC" w:rsidRPr="00DE70AA">
        <w:rPr>
          <w:rFonts w:ascii="Calibri" w:hAnsi="Calibri" w:cs="Calibri"/>
          <w:sz w:val="24"/>
          <w:szCs w:val="24"/>
        </w:rPr>
        <w:t xml:space="preserve"> will be split with a percentage in Band A and B </w:t>
      </w:r>
      <w:r w:rsidR="007C06C5" w:rsidRPr="00DE70AA">
        <w:rPr>
          <w:rFonts w:ascii="Calibri" w:hAnsi="Calibri" w:cs="Calibri"/>
          <w:sz w:val="24"/>
          <w:szCs w:val="24"/>
        </w:rPr>
        <w:t xml:space="preserve">that </w:t>
      </w:r>
      <w:r w:rsidR="00484DE2">
        <w:rPr>
          <w:rFonts w:ascii="Calibri" w:hAnsi="Calibri" w:cs="Calibri"/>
          <w:sz w:val="24"/>
          <w:szCs w:val="24"/>
        </w:rPr>
        <w:t xml:space="preserve">is </w:t>
      </w:r>
      <w:r w:rsidR="007C06C5" w:rsidRPr="00DE70AA">
        <w:rPr>
          <w:rFonts w:ascii="Calibri" w:hAnsi="Calibri" w:cs="Calibri"/>
          <w:sz w:val="24"/>
          <w:szCs w:val="24"/>
        </w:rPr>
        <w:t xml:space="preserve">reflective of </w:t>
      </w:r>
      <w:r w:rsidR="00DE70AA" w:rsidRPr="00DE70AA">
        <w:rPr>
          <w:rFonts w:ascii="Calibri" w:hAnsi="Calibri" w:cs="Calibri"/>
          <w:sz w:val="24"/>
          <w:szCs w:val="24"/>
        </w:rPr>
        <w:t xml:space="preserve">both </w:t>
      </w:r>
      <w:r w:rsidR="007C06C5" w:rsidRPr="00DE70AA">
        <w:rPr>
          <w:rFonts w:ascii="Calibri" w:hAnsi="Calibri" w:cs="Calibri"/>
          <w:sz w:val="24"/>
          <w:szCs w:val="24"/>
        </w:rPr>
        <w:t xml:space="preserve">the overall demand within </w:t>
      </w:r>
      <w:r w:rsidR="00484DE2">
        <w:rPr>
          <w:rFonts w:ascii="Calibri" w:hAnsi="Calibri" w:cs="Calibri"/>
          <w:sz w:val="24"/>
          <w:szCs w:val="24"/>
        </w:rPr>
        <w:t>B</w:t>
      </w:r>
      <w:r w:rsidR="007C06C5" w:rsidRPr="00DE70AA">
        <w:rPr>
          <w:rFonts w:ascii="Calibri" w:hAnsi="Calibri" w:cs="Calibri"/>
          <w:sz w:val="24"/>
          <w:szCs w:val="24"/>
        </w:rPr>
        <w:t>and</w:t>
      </w:r>
      <w:r w:rsidR="00DE70AA" w:rsidRPr="00DE70AA">
        <w:rPr>
          <w:rFonts w:ascii="Calibri" w:hAnsi="Calibri" w:cs="Calibri"/>
          <w:sz w:val="24"/>
          <w:szCs w:val="24"/>
        </w:rPr>
        <w:t xml:space="preserve"> A and B</w:t>
      </w:r>
      <w:r w:rsidR="00E438F0" w:rsidRPr="00DE70AA">
        <w:rPr>
          <w:rFonts w:ascii="Calibri" w:hAnsi="Calibri" w:cs="Calibri"/>
          <w:sz w:val="24"/>
          <w:szCs w:val="24"/>
        </w:rPr>
        <w:t xml:space="preserve"> and the assessed </w:t>
      </w:r>
      <w:r w:rsidR="00DE70AA" w:rsidRPr="00DE70AA">
        <w:rPr>
          <w:rFonts w:ascii="Calibri" w:hAnsi="Calibri" w:cs="Calibri"/>
          <w:sz w:val="24"/>
          <w:szCs w:val="24"/>
        </w:rPr>
        <w:t xml:space="preserve">priority </w:t>
      </w:r>
      <w:r w:rsidR="00E438F0" w:rsidRPr="00DE70AA">
        <w:rPr>
          <w:rFonts w:ascii="Calibri" w:hAnsi="Calibri" w:cs="Calibri"/>
          <w:sz w:val="24"/>
          <w:szCs w:val="24"/>
        </w:rPr>
        <w:t>housing need</w:t>
      </w:r>
      <w:r w:rsidR="007C06C5" w:rsidRPr="00DE70AA">
        <w:rPr>
          <w:rFonts w:ascii="Calibri" w:hAnsi="Calibri" w:cs="Calibri"/>
          <w:sz w:val="24"/>
          <w:szCs w:val="24"/>
        </w:rPr>
        <w:t>.</w:t>
      </w:r>
      <w:r w:rsidR="00D14B68" w:rsidRPr="00DE70AA">
        <w:rPr>
          <w:rFonts w:ascii="Calibri" w:hAnsi="Calibri" w:cs="Calibri"/>
          <w:sz w:val="24"/>
          <w:szCs w:val="24"/>
        </w:rPr>
        <w:t xml:space="preserve"> </w:t>
      </w:r>
      <w:r w:rsidR="00620997">
        <w:rPr>
          <w:rFonts w:ascii="Calibri" w:hAnsi="Calibri" w:cs="Calibri"/>
          <w:sz w:val="24"/>
          <w:szCs w:val="24"/>
        </w:rPr>
        <w:t>As such,</w:t>
      </w:r>
      <w:r w:rsidR="00D14B68" w:rsidRPr="00DE70AA">
        <w:rPr>
          <w:rFonts w:ascii="Calibri" w:hAnsi="Calibri" w:cs="Calibri"/>
          <w:sz w:val="24"/>
          <w:szCs w:val="24"/>
        </w:rPr>
        <w:t xml:space="preserve"> 40% </w:t>
      </w:r>
      <w:r w:rsidR="00131FA2" w:rsidRPr="00DE70AA">
        <w:rPr>
          <w:rFonts w:ascii="Calibri" w:hAnsi="Calibri" w:cs="Calibri"/>
          <w:sz w:val="24"/>
          <w:szCs w:val="24"/>
        </w:rPr>
        <w:t xml:space="preserve">(8) </w:t>
      </w:r>
      <w:r w:rsidR="00D14B68" w:rsidRPr="00DE70AA">
        <w:rPr>
          <w:rFonts w:ascii="Calibri" w:hAnsi="Calibri" w:cs="Calibri"/>
          <w:sz w:val="24"/>
          <w:szCs w:val="24"/>
        </w:rPr>
        <w:t>of</w:t>
      </w:r>
      <w:r w:rsidR="004A3570" w:rsidRPr="00DE70AA">
        <w:rPr>
          <w:rFonts w:ascii="Calibri" w:hAnsi="Calibri" w:cs="Calibri"/>
          <w:sz w:val="24"/>
          <w:szCs w:val="24"/>
        </w:rPr>
        <w:t xml:space="preserve"> the</w:t>
      </w:r>
      <w:r w:rsidR="00D14B68" w:rsidRPr="00DE70AA">
        <w:rPr>
          <w:rFonts w:ascii="Calibri" w:hAnsi="Calibri" w:cs="Calibri"/>
          <w:sz w:val="24"/>
          <w:szCs w:val="24"/>
        </w:rPr>
        <w:t xml:space="preserve"> properties will be allocated to Band A</w:t>
      </w:r>
      <w:r w:rsidR="00131FA2" w:rsidRPr="00DE70AA">
        <w:rPr>
          <w:rFonts w:ascii="Calibri" w:hAnsi="Calibri" w:cs="Calibri"/>
          <w:sz w:val="24"/>
          <w:szCs w:val="24"/>
        </w:rPr>
        <w:t xml:space="preserve"> and 60%</w:t>
      </w:r>
      <w:r w:rsidR="004A3570" w:rsidRPr="00DE70AA">
        <w:rPr>
          <w:rFonts w:ascii="Calibri" w:hAnsi="Calibri" w:cs="Calibri"/>
          <w:sz w:val="24"/>
          <w:szCs w:val="24"/>
        </w:rPr>
        <w:t xml:space="preserve"> (14)</w:t>
      </w:r>
      <w:r w:rsidR="00131FA2" w:rsidRPr="00DE70AA">
        <w:rPr>
          <w:rFonts w:ascii="Calibri" w:hAnsi="Calibri" w:cs="Calibri"/>
          <w:sz w:val="24"/>
          <w:szCs w:val="24"/>
        </w:rPr>
        <w:t xml:space="preserve"> to Band B. </w:t>
      </w:r>
      <w:r w:rsidR="007C06C5" w:rsidRPr="00DE70AA">
        <w:rPr>
          <w:rFonts w:ascii="Calibri" w:hAnsi="Calibri" w:cs="Calibri"/>
          <w:sz w:val="24"/>
          <w:szCs w:val="24"/>
        </w:rPr>
        <w:t xml:space="preserve"> </w:t>
      </w:r>
    </w:p>
    <w:p w14:paraId="2FCB1C1D" w14:textId="77777777" w:rsidR="007C06C5" w:rsidRDefault="007C06C5" w:rsidP="00075635">
      <w:pPr>
        <w:jc w:val="both"/>
        <w:rPr>
          <w:rFonts w:ascii="Calibri" w:hAnsi="Calibri" w:cs="Calibri"/>
          <w:sz w:val="24"/>
          <w:szCs w:val="24"/>
        </w:rPr>
      </w:pPr>
    </w:p>
    <w:p w14:paraId="516BCE7C" w14:textId="076599F7" w:rsidR="00027D65" w:rsidRDefault="00EE3E78" w:rsidP="006668D8">
      <w:pPr>
        <w:jc w:val="both"/>
        <w:rPr>
          <w:rFonts w:ascii="Calibri" w:hAnsi="Calibri" w:cs="Calibri"/>
          <w:sz w:val="24"/>
          <w:szCs w:val="24"/>
        </w:rPr>
      </w:pPr>
      <w:r w:rsidRPr="672FB3C8">
        <w:rPr>
          <w:rFonts w:ascii="Calibri" w:hAnsi="Calibri" w:cs="Calibri"/>
          <w:sz w:val="24"/>
          <w:szCs w:val="24"/>
        </w:rPr>
        <w:t xml:space="preserve">All </w:t>
      </w:r>
      <w:r w:rsidR="006668D8" w:rsidRPr="672FB3C8">
        <w:rPr>
          <w:rFonts w:ascii="Calibri" w:hAnsi="Calibri" w:cs="Calibri"/>
          <w:sz w:val="24"/>
          <w:szCs w:val="24"/>
        </w:rPr>
        <w:t>properties (</w:t>
      </w:r>
      <w:r w:rsidR="6A675B3B" w:rsidRPr="672FB3C8">
        <w:rPr>
          <w:rFonts w:ascii="Calibri" w:hAnsi="Calibri" w:cs="Calibri"/>
          <w:sz w:val="24"/>
          <w:szCs w:val="24"/>
        </w:rPr>
        <w:t xml:space="preserve">100%) </w:t>
      </w:r>
      <w:r w:rsidR="00F13796" w:rsidRPr="672FB3C8">
        <w:rPr>
          <w:rFonts w:ascii="Calibri" w:hAnsi="Calibri" w:cs="Calibri"/>
          <w:sz w:val="24"/>
          <w:szCs w:val="24"/>
        </w:rPr>
        <w:t xml:space="preserve">will be allocated to </w:t>
      </w:r>
      <w:r w:rsidR="00075635" w:rsidRPr="672FB3C8">
        <w:rPr>
          <w:rFonts w:ascii="Calibri" w:hAnsi="Calibri" w:cs="Calibri"/>
          <w:sz w:val="24"/>
          <w:szCs w:val="24"/>
        </w:rPr>
        <w:t xml:space="preserve">Knowsley </w:t>
      </w:r>
      <w:r w:rsidR="00F13796" w:rsidRPr="672FB3C8">
        <w:rPr>
          <w:rFonts w:ascii="Calibri" w:hAnsi="Calibri" w:cs="Calibri"/>
          <w:sz w:val="24"/>
          <w:szCs w:val="24"/>
        </w:rPr>
        <w:t>residents for the first round of lets.</w:t>
      </w:r>
      <w:r w:rsidR="00075635" w:rsidRPr="672FB3C8">
        <w:rPr>
          <w:rFonts w:ascii="Calibri" w:hAnsi="Calibri" w:cs="Calibri"/>
          <w:sz w:val="24"/>
          <w:szCs w:val="24"/>
        </w:rPr>
        <w:t xml:space="preserve"> </w:t>
      </w:r>
      <w:r w:rsidR="00734B5E">
        <w:rPr>
          <w:rFonts w:ascii="Calibri" w:hAnsi="Calibri" w:cs="Calibri"/>
          <w:sz w:val="24"/>
          <w:szCs w:val="24"/>
        </w:rPr>
        <w:t xml:space="preserve">In order to balance the </w:t>
      </w:r>
      <w:r w:rsidR="00B133B7">
        <w:rPr>
          <w:rFonts w:ascii="Calibri" w:hAnsi="Calibri" w:cs="Calibri"/>
          <w:sz w:val="24"/>
          <w:szCs w:val="24"/>
        </w:rPr>
        <w:t xml:space="preserve">needs of individuals on the housing register whilst also promoting a balance community, preference will be given to </w:t>
      </w:r>
      <w:r w:rsidR="00A16360">
        <w:rPr>
          <w:rFonts w:ascii="Calibri" w:hAnsi="Calibri" w:cs="Calibri"/>
          <w:sz w:val="24"/>
          <w:szCs w:val="24"/>
        </w:rPr>
        <w:t>applicants who are</w:t>
      </w:r>
      <w:r w:rsidR="00B133B7">
        <w:rPr>
          <w:rFonts w:ascii="Calibri" w:hAnsi="Calibri" w:cs="Calibri"/>
          <w:sz w:val="24"/>
          <w:szCs w:val="24"/>
        </w:rPr>
        <w:t xml:space="preserve"> employment, </w:t>
      </w:r>
      <w:r w:rsidR="00A16360">
        <w:rPr>
          <w:rFonts w:ascii="Calibri" w:hAnsi="Calibri" w:cs="Calibri"/>
          <w:sz w:val="24"/>
          <w:szCs w:val="24"/>
        </w:rPr>
        <w:t xml:space="preserve">homeless, or currently under-occupying </w:t>
      </w:r>
      <w:r w:rsidR="00484DE2">
        <w:rPr>
          <w:rFonts w:ascii="Calibri" w:hAnsi="Calibri" w:cs="Calibri"/>
          <w:sz w:val="24"/>
          <w:szCs w:val="24"/>
        </w:rPr>
        <w:t xml:space="preserve">an </w:t>
      </w:r>
      <w:r w:rsidR="00F13256">
        <w:rPr>
          <w:rFonts w:ascii="Calibri" w:hAnsi="Calibri" w:cs="Calibri"/>
          <w:sz w:val="24"/>
          <w:szCs w:val="24"/>
        </w:rPr>
        <w:t xml:space="preserve">existing social housing property. </w:t>
      </w:r>
    </w:p>
    <w:p w14:paraId="2FDD39DF" w14:textId="77777777" w:rsidR="00027D65" w:rsidRDefault="00027D65" w:rsidP="008E28D4">
      <w:pPr>
        <w:rPr>
          <w:rFonts w:ascii="Calibri" w:hAnsi="Calibri" w:cs="Calibri"/>
          <w:sz w:val="24"/>
          <w:szCs w:val="24"/>
        </w:rPr>
      </w:pPr>
    </w:p>
    <w:p w14:paraId="07534383" w14:textId="71810DC6" w:rsidR="00745639" w:rsidRDefault="00745639" w:rsidP="008E28D4">
      <w:pPr>
        <w:rPr>
          <w:rFonts w:ascii="Calibri" w:hAnsi="Calibri" w:cs="Calibri"/>
          <w:b/>
          <w:bCs/>
          <w:sz w:val="24"/>
          <w:szCs w:val="24"/>
        </w:rPr>
      </w:pPr>
      <w:r w:rsidRPr="00DE70AA">
        <w:rPr>
          <w:rFonts w:ascii="Calibri" w:hAnsi="Calibri" w:cs="Calibri"/>
          <w:b/>
          <w:bCs/>
          <w:sz w:val="24"/>
          <w:szCs w:val="24"/>
        </w:rPr>
        <w:t>Employment</w:t>
      </w:r>
    </w:p>
    <w:p w14:paraId="130FC984" w14:textId="77777777" w:rsidR="00484DE2" w:rsidRPr="00DE70AA" w:rsidRDefault="00484DE2" w:rsidP="008E28D4">
      <w:pPr>
        <w:rPr>
          <w:rFonts w:ascii="Calibri" w:hAnsi="Calibri" w:cs="Calibri"/>
          <w:b/>
          <w:bCs/>
          <w:sz w:val="24"/>
          <w:szCs w:val="24"/>
        </w:rPr>
      </w:pPr>
    </w:p>
    <w:p w14:paraId="4B60FBF5" w14:textId="0AFFD9D2" w:rsidR="008E28D4" w:rsidRDefault="00027D65">
      <w:pPr>
        <w:spacing w:line="259" w:lineRule="auto"/>
        <w:jc w:val="both"/>
        <w:rPr>
          <w:rFonts w:ascii="Calibri" w:hAnsi="Calibri" w:cs="Calibri"/>
          <w:sz w:val="24"/>
          <w:szCs w:val="24"/>
        </w:rPr>
      </w:pPr>
      <w:r w:rsidRPr="2106B3B2">
        <w:rPr>
          <w:rFonts w:ascii="Calibri" w:hAnsi="Calibri" w:cs="Calibri"/>
          <w:sz w:val="24"/>
          <w:szCs w:val="24"/>
        </w:rPr>
        <w:t xml:space="preserve">Onward Homes will request that </w:t>
      </w:r>
      <w:r w:rsidR="3B7009CC" w:rsidRPr="2106B3B2">
        <w:rPr>
          <w:rFonts w:ascii="Calibri" w:hAnsi="Calibri" w:cs="Calibri"/>
          <w:sz w:val="24"/>
          <w:szCs w:val="24"/>
        </w:rPr>
        <w:t>7</w:t>
      </w:r>
      <w:r w:rsidRPr="2106B3B2">
        <w:rPr>
          <w:rFonts w:ascii="Calibri" w:hAnsi="Calibri" w:cs="Calibri"/>
          <w:sz w:val="24"/>
          <w:szCs w:val="24"/>
        </w:rPr>
        <w:t xml:space="preserve"> out of the 22</w:t>
      </w:r>
      <w:r w:rsidR="00745639" w:rsidRPr="2106B3B2">
        <w:rPr>
          <w:rFonts w:ascii="Calibri" w:hAnsi="Calibri" w:cs="Calibri"/>
          <w:sz w:val="24"/>
          <w:szCs w:val="24"/>
        </w:rPr>
        <w:t xml:space="preserve"> properties</w:t>
      </w:r>
      <w:r w:rsidR="008E28D4" w:rsidRPr="2106B3B2">
        <w:rPr>
          <w:rFonts w:ascii="Calibri" w:hAnsi="Calibri" w:cs="Calibri"/>
          <w:sz w:val="24"/>
          <w:szCs w:val="24"/>
        </w:rPr>
        <w:t xml:space="preserve"> </w:t>
      </w:r>
      <w:r w:rsidR="00EE70E0" w:rsidRPr="2106B3B2">
        <w:rPr>
          <w:rFonts w:ascii="Calibri" w:hAnsi="Calibri" w:cs="Calibri"/>
          <w:sz w:val="24"/>
          <w:szCs w:val="24"/>
        </w:rPr>
        <w:t>(</w:t>
      </w:r>
      <w:r w:rsidR="136AC39F" w:rsidRPr="2106B3B2">
        <w:rPr>
          <w:rFonts w:ascii="Calibri" w:hAnsi="Calibri" w:cs="Calibri"/>
          <w:sz w:val="24"/>
          <w:szCs w:val="24"/>
        </w:rPr>
        <w:t>3</w:t>
      </w:r>
      <w:r w:rsidR="000D7A70">
        <w:rPr>
          <w:rFonts w:ascii="Calibri" w:hAnsi="Calibri" w:cs="Calibri"/>
          <w:sz w:val="24"/>
          <w:szCs w:val="24"/>
        </w:rPr>
        <w:t>2</w:t>
      </w:r>
      <w:r w:rsidR="00EE70E0" w:rsidRPr="2106B3B2">
        <w:rPr>
          <w:rFonts w:ascii="Calibri" w:hAnsi="Calibri" w:cs="Calibri"/>
          <w:sz w:val="24"/>
          <w:szCs w:val="24"/>
        </w:rPr>
        <w:t xml:space="preserve">%) </w:t>
      </w:r>
      <w:r w:rsidR="008E28D4" w:rsidRPr="2106B3B2">
        <w:rPr>
          <w:rFonts w:ascii="Calibri" w:hAnsi="Calibri" w:cs="Calibri"/>
          <w:sz w:val="24"/>
          <w:szCs w:val="24"/>
        </w:rPr>
        <w:t xml:space="preserve">will </w:t>
      </w:r>
      <w:r w:rsidR="00551CB4" w:rsidRPr="2106B3B2">
        <w:rPr>
          <w:rFonts w:ascii="Calibri" w:hAnsi="Calibri" w:cs="Calibri"/>
          <w:sz w:val="24"/>
          <w:szCs w:val="24"/>
        </w:rPr>
        <w:t>give preference to</w:t>
      </w:r>
      <w:r w:rsidR="008E28D4" w:rsidRPr="2106B3B2">
        <w:rPr>
          <w:rFonts w:ascii="Calibri" w:hAnsi="Calibri" w:cs="Calibri"/>
          <w:sz w:val="24"/>
          <w:szCs w:val="24"/>
        </w:rPr>
        <w:t xml:space="preserve"> </w:t>
      </w:r>
      <w:r w:rsidR="0032792D" w:rsidRPr="2106B3B2">
        <w:rPr>
          <w:rFonts w:ascii="Calibri" w:hAnsi="Calibri" w:cs="Calibri"/>
          <w:sz w:val="24"/>
          <w:szCs w:val="24"/>
        </w:rPr>
        <w:t>those in employment</w:t>
      </w:r>
      <w:r w:rsidR="00892C03" w:rsidRPr="2106B3B2">
        <w:rPr>
          <w:rFonts w:ascii="Calibri" w:hAnsi="Calibri" w:cs="Calibri"/>
          <w:sz w:val="24"/>
          <w:szCs w:val="24"/>
        </w:rPr>
        <w:t>.</w:t>
      </w:r>
      <w:r w:rsidR="00EE70E0" w:rsidRPr="2106B3B2">
        <w:rPr>
          <w:rFonts w:ascii="Calibri" w:hAnsi="Calibri" w:cs="Calibri"/>
          <w:sz w:val="24"/>
          <w:szCs w:val="24"/>
        </w:rPr>
        <w:t xml:space="preserve"> </w:t>
      </w:r>
      <w:r w:rsidR="004A3570" w:rsidRPr="2106B3B2">
        <w:rPr>
          <w:rFonts w:ascii="Calibri" w:hAnsi="Calibri" w:cs="Calibri"/>
          <w:sz w:val="24"/>
          <w:szCs w:val="24"/>
        </w:rPr>
        <w:t xml:space="preserve">As of </w:t>
      </w:r>
      <w:r w:rsidR="00521012" w:rsidRPr="2106B3B2">
        <w:rPr>
          <w:rFonts w:ascii="Calibri" w:hAnsi="Calibri" w:cs="Calibri"/>
          <w:sz w:val="24"/>
          <w:szCs w:val="24"/>
        </w:rPr>
        <w:t>June 2024, 20.1% of active applications</w:t>
      </w:r>
      <w:r w:rsidR="00484DE2">
        <w:rPr>
          <w:rFonts w:ascii="Calibri" w:hAnsi="Calibri" w:cs="Calibri"/>
          <w:sz w:val="24"/>
          <w:szCs w:val="24"/>
        </w:rPr>
        <w:t xml:space="preserve"> on Knowsley’s housing register</w:t>
      </w:r>
      <w:r w:rsidR="00521012" w:rsidRPr="2106B3B2">
        <w:rPr>
          <w:rFonts w:ascii="Calibri" w:hAnsi="Calibri" w:cs="Calibri"/>
          <w:sz w:val="24"/>
          <w:szCs w:val="24"/>
        </w:rPr>
        <w:t xml:space="preserve"> </w:t>
      </w:r>
      <w:r w:rsidR="00484DE2">
        <w:rPr>
          <w:rFonts w:ascii="Calibri" w:hAnsi="Calibri" w:cs="Calibri"/>
          <w:sz w:val="24"/>
          <w:szCs w:val="24"/>
        </w:rPr>
        <w:t xml:space="preserve">were verified as being in </w:t>
      </w:r>
      <w:r w:rsidR="00FF0100">
        <w:rPr>
          <w:rFonts w:ascii="Calibri" w:hAnsi="Calibri" w:cs="Calibri"/>
          <w:sz w:val="24"/>
          <w:szCs w:val="24"/>
        </w:rPr>
        <w:t>employment</w:t>
      </w:r>
      <w:r w:rsidR="00FF0100" w:rsidRPr="2106B3B2">
        <w:rPr>
          <w:rFonts w:ascii="Calibri" w:hAnsi="Calibri" w:cs="Calibri"/>
          <w:sz w:val="24"/>
          <w:szCs w:val="24"/>
        </w:rPr>
        <w:t xml:space="preserve"> (</w:t>
      </w:r>
      <w:r w:rsidR="00A17338" w:rsidRPr="2106B3B2">
        <w:rPr>
          <w:rFonts w:ascii="Calibri" w:hAnsi="Calibri" w:cs="Calibri"/>
          <w:sz w:val="24"/>
          <w:szCs w:val="24"/>
        </w:rPr>
        <w:t>working over 16 hours per week).</w:t>
      </w:r>
      <w:r w:rsidR="00813311" w:rsidRPr="2106B3B2">
        <w:rPr>
          <w:rFonts w:ascii="Calibri" w:hAnsi="Calibri" w:cs="Calibri"/>
          <w:sz w:val="24"/>
          <w:szCs w:val="24"/>
        </w:rPr>
        <w:t xml:space="preserve"> </w:t>
      </w:r>
      <w:r w:rsidR="45ECD882" w:rsidRPr="2106B3B2">
        <w:rPr>
          <w:rFonts w:ascii="Calibri" w:hAnsi="Calibri" w:cs="Calibri"/>
          <w:sz w:val="24"/>
          <w:szCs w:val="24"/>
        </w:rPr>
        <w:t>However, it is estimated that this percentage will be higher as applicants are not required to provide prove of empl</w:t>
      </w:r>
      <w:r w:rsidR="40696C6B" w:rsidRPr="2106B3B2">
        <w:rPr>
          <w:rFonts w:ascii="Calibri" w:hAnsi="Calibri" w:cs="Calibri"/>
          <w:sz w:val="24"/>
          <w:szCs w:val="24"/>
        </w:rPr>
        <w:t>oyment for their P</w:t>
      </w:r>
      <w:r w:rsidR="00484DE2">
        <w:rPr>
          <w:rFonts w:ascii="Calibri" w:hAnsi="Calibri" w:cs="Calibri"/>
          <w:sz w:val="24"/>
          <w:szCs w:val="24"/>
        </w:rPr>
        <w:t xml:space="preserve">roperty </w:t>
      </w:r>
      <w:r w:rsidR="00FF0100" w:rsidRPr="2106B3B2">
        <w:rPr>
          <w:rFonts w:ascii="Calibri" w:hAnsi="Calibri" w:cs="Calibri"/>
          <w:sz w:val="24"/>
          <w:szCs w:val="24"/>
        </w:rPr>
        <w:t>P</w:t>
      </w:r>
      <w:r w:rsidR="00FF0100">
        <w:rPr>
          <w:rFonts w:ascii="Calibri" w:hAnsi="Calibri" w:cs="Calibri"/>
          <w:sz w:val="24"/>
          <w:szCs w:val="24"/>
        </w:rPr>
        <w:t>ool Plus</w:t>
      </w:r>
      <w:r w:rsidR="40696C6B" w:rsidRPr="2106B3B2">
        <w:rPr>
          <w:rFonts w:ascii="Calibri" w:hAnsi="Calibri" w:cs="Calibri"/>
          <w:sz w:val="24"/>
          <w:szCs w:val="24"/>
        </w:rPr>
        <w:t xml:space="preserve"> application</w:t>
      </w:r>
      <w:r w:rsidR="001372B4">
        <w:rPr>
          <w:rFonts w:ascii="Calibri" w:hAnsi="Calibri" w:cs="Calibri"/>
          <w:sz w:val="24"/>
          <w:szCs w:val="24"/>
        </w:rPr>
        <w:t xml:space="preserve"> and</w:t>
      </w:r>
      <w:r w:rsidR="001372B4" w:rsidRPr="2106B3B2">
        <w:rPr>
          <w:rFonts w:ascii="Calibri" w:hAnsi="Calibri" w:cs="Calibri"/>
          <w:sz w:val="24"/>
          <w:szCs w:val="24"/>
        </w:rPr>
        <w:t xml:space="preserve"> therefore</w:t>
      </w:r>
      <w:r w:rsidR="40696C6B" w:rsidRPr="2106B3B2">
        <w:rPr>
          <w:rFonts w:ascii="Calibri" w:hAnsi="Calibri" w:cs="Calibri"/>
          <w:sz w:val="24"/>
          <w:szCs w:val="24"/>
        </w:rPr>
        <w:t xml:space="preserve"> may not </w:t>
      </w:r>
      <w:r w:rsidR="5730B319" w:rsidRPr="2106B3B2">
        <w:rPr>
          <w:rFonts w:ascii="Calibri" w:hAnsi="Calibri" w:cs="Calibri"/>
          <w:sz w:val="24"/>
          <w:szCs w:val="24"/>
        </w:rPr>
        <w:t>have</w:t>
      </w:r>
      <w:r w:rsidR="40696C6B" w:rsidRPr="2106B3B2">
        <w:rPr>
          <w:rFonts w:ascii="Calibri" w:hAnsi="Calibri" w:cs="Calibri"/>
          <w:sz w:val="24"/>
          <w:szCs w:val="24"/>
        </w:rPr>
        <w:t xml:space="preserve"> provided this information so are n</w:t>
      </w:r>
      <w:r w:rsidR="1F7BB29E" w:rsidRPr="2106B3B2">
        <w:rPr>
          <w:rFonts w:ascii="Calibri" w:hAnsi="Calibri" w:cs="Calibri"/>
          <w:sz w:val="24"/>
          <w:szCs w:val="24"/>
        </w:rPr>
        <w:t>ot reflected in the above statistic</w:t>
      </w:r>
      <w:r w:rsidR="40696C6B" w:rsidRPr="2106B3B2">
        <w:rPr>
          <w:rFonts w:ascii="Calibri" w:hAnsi="Calibri" w:cs="Calibri"/>
          <w:sz w:val="24"/>
          <w:szCs w:val="24"/>
        </w:rPr>
        <w:t>.</w:t>
      </w:r>
    </w:p>
    <w:p w14:paraId="4221D8BB" w14:textId="56E2D436" w:rsidR="008E28D4" w:rsidRDefault="008E28D4" w:rsidP="38A5AF55">
      <w:pPr>
        <w:spacing w:line="259" w:lineRule="auto"/>
        <w:jc w:val="both"/>
        <w:rPr>
          <w:rFonts w:ascii="Calibri" w:hAnsi="Calibri" w:cs="Calibri"/>
          <w:sz w:val="24"/>
          <w:szCs w:val="24"/>
        </w:rPr>
      </w:pPr>
    </w:p>
    <w:p w14:paraId="0F6B60DE" w14:textId="7C8BC966" w:rsidR="008E28D4" w:rsidRDefault="3873C606" w:rsidP="7024A604">
      <w:pPr>
        <w:spacing w:line="257" w:lineRule="auto"/>
        <w:jc w:val="both"/>
        <w:rPr>
          <w:rFonts w:ascii="Calibri" w:eastAsia="Calibri" w:hAnsi="Calibri" w:cs="Calibri"/>
          <w:sz w:val="24"/>
          <w:szCs w:val="24"/>
        </w:rPr>
      </w:pPr>
      <w:r w:rsidRPr="7024A604">
        <w:rPr>
          <w:rFonts w:ascii="Calibri" w:hAnsi="Calibri" w:cs="Calibri"/>
          <w:sz w:val="24"/>
          <w:szCs w:val="24"/>
        </w:rPr>
        <w:t>By giving preference to those in employment</w:t>
      </w:r>
      <w:r w:rsidR="001372B4" w:rsidRPr="7024A604">
        <w:rPr>
          <w:rFonts w:ascii="Calibri" w:hAnsi="Calibri" w:cs="Calibri"/>
          <w:sz w:val="24"/>
          <w:szCs w:val="24"/>
        </w:rPr>
        <w:t xml:space="preserve">, </w:t>
      </w:r>
      <w:r w:rsidRPr="7024A604">
        <w:rPr>
          <w:rFonts w:ascii="Calibri" w:hAnsi="Calibri" w:cs="Calibri"/>
          <w:sz w:val="24"/>
          <w:szCs w:val="24"/>
        </w:rPr>
        <w:t>this</w:t>
      </w:r>
      <w:r w:rsidR="00813311" w:rsidRPr="7024A604">
        <w:rPr>
          <w:rFonts w:ascii="Calibri" w:hAnsi="Calibri" w:cs="Calibri"/>
          <w:sz w:val="24"/>
          <w:szCs w:val="24"/>
        </w:rPr>
        <w:t xml:space="preserve"> will </w:t>
      </w:r>
      <w:r w:rsidR="00F13256" w:rsidRPr="7024A604">
        <w:rPr>
          <w:rFonts w:ascii="Calibri" w:hAnsi="Calibri" w:cs="Calibri"/>
          <w:sz w:val="24"/>
          <w:szCs w:val="24"/>
        </w:rPr>
        <w:t xml:space="preserve">help </w:t>
      </w:r>
      <w:r w:rsidR="00813311" w:rsidRPr="7024A604">
        <w:rPr>
          <w:rFonts w:ascii="Calibri" w:hAnsi="Calibri" w:cs="Calibri"/>
          <w:sz w:val="24"/>
          <w:szCs w:val="24"/>
        </w:rPr>
        <w:t xml:space="preserve">create sustainability for the community both </w:t>
      </w:r>
      <w:r w:rsidR="001372B4" w:rsidRPr="7024A604">
        <w:rPr>
          <w:rFonts w:ascii="Calibri" w:hAnsi="Calibri" w:cs="Calibri"/>
          <w:sz w:val="24"/>
          <w:szCs w:val="24"/>
        </w:rPr>
        <w:t>within</w:t>
      </w:r>
      <w:r w:rsidR="00813311" w:rsidRPr="7024A604">
        <w:rPr>
          <w:rFonts w:ascii="Calibri" w:hAnsi="Calibri" w:cs="Calibri"/>
          <w:sz w:val="24"/>
          <w:szCs w:val="24"/>
        </w:rPr>
        <w:t xml:space="preserve"> the scheme and in the surrounding areas, reduce the risk of Anti-Social Behaviour and Crime and ensuring that the cost to the public services</w:t>
      </w:r>
      <w:r w:rsidR="00027D65" w:rsidRPr="7024A604">
        <w:rPr>
          <w:rFonts w:ascii="Calibri" w:hAnsi="Calibri" w:cs="Calibri"/>
          <w:sz w:val="24"/>
          <w:szCs w:val="24"/>
        </w:rPr>
        <w:t>, Onward Homes and the Housing Management Function</w:t>
      </w:r>
      <w:r w:rsidR="00813311" w:rsidRPr="7024A604">
        <w:rPr>
          <w:rFonts w:ascii="Calibri" w:hAnsi="Calibri" w:cs="Calibri"/>
          <w:sz w:val="24"/>
          <w:szCs w:val="24"/>
        </w:rPr>
        <w:t xml:space="preserve"> is not impacted as it has on other apartment schemes in Merseyside. </w:t>
      </w:r>
      <w:r w:rsidR="2EC889A8" w:rsidRPr="7024A604">
        <w:rPr>
          <w:rFonts w:ascii="Calibri" w:eastAsia="Calibri" w:hAnsi="Calibri" w:cs="Calibri"/>
          <w:sz w:val="24"/>
          <w:szCs w:val="24"/>
        </w:rPr>
        <w:t xml:space="preserve">In other new build schemes in Merseyside where </w:t>
      </w:r>
      <w:r w:rsidR="0002646E">
        <w:rPr>
          <w:rFonts w:ascii="Calibri" w:eastAsia="Calibri" w:hAnsi="Calibri" w:cs="Calibri"/>
          <w:sz w:val="24"/>
          <w:szCs w:val="24"/>
        </w:rPr>
        <w:t xml:space="preserve">Onward Homes </w:t>
      </w:r>
      <w:r w:rsidR="2EC889A8" w:rsidRPr="7024A604">
        <w:rPr>
          <w:rFonts w:ascii="Calibri" w:eastAsia="Calibri" w:hAnsi="Calibri" w:cs="Calibri"/>
          <w:sz w:val="24"/>
          <w:szCs w:val="24"/>
        </w:rPr>
        <w:t xml:space="preserve">have not </w:t>
      </w:r>
      <w:r w:rsidR="2EC889A8" w:rsidRPr="7024A604">
        <w:rPr>
          <w:rFonts w:ascii="Calibri" w:eastAsia="Calibri" w:hAnsi="Calibri" w:cs="Calibri"/>
          <w:sz w:val="24"/>
          <w:szCs w:val="24"/>
        </w:rPr>
        <w:lastRenderedPageBreak/>
        <w:t>requested a certain percentage of properties go to Employment, we have experiences high levels of customer turnover within the first 18 months that has reduced tenancy and community sustainability.</w:t>
      </w:r>
    </w:p>
    <w:p w14:paraId="5501FD26" w14:textId="06480485" w:rsidR="008E28D4" w:rsidRDefault="008E28D4" w:rsidP="7024A604">
      <w:pPr>
        <w:spacing w:line="259" w:lineRule="auto"/>
        <w:jc w:val="both"/>
        <w:rPr>
          <w:rFonts w:ascii="Calibri" w:hAnsi="Calibri" w:cs="Calibri"/>
          <w:sz w:val="24"/>
          <w:szCs w:val="24"/>
        </w:rPr>
      </w:pPr>
    </w:p>
    <w:p w14:paraId="423535C8" w14:textId="77777777" w:rsidR="00ED52F2" w:rsidRDefault="00ED52F2" w:rsidP="008E28D4">
      <w:pPr>
        <w:rPr>
          <w:rFonts w:ascii="Calibri" w:hAnsi="Calibri" w:cs="Calibri"/>
          <w:sz w:val="24"/>
          <w:szCs w:val="24"/>
        </w:rPr>
      </w:pPr>
    </w:p>
    <w:p w14:paraId="0E5D03EA" w14:textId="02C2F414" w:rsidR="00902CB4" w:rsidRDefault="00ED52F2" w:rsidP="008E28D4">
      <w:pPr>
        <w:rPr>
          <w:rFonts w:ascii="Calibri" w:hAnsi="Calibri" w:cs="Calibri"/>
          <w:b/>
          <w:bCs/>
          <w:sz w:val="24"/>
          <w:szCs w:val="24"/>
        </w:rPr>
      </w:pPr>
      <w:r w:rsidRPr="00902CB4">
        <w:rPr>
          <w:rFonts w:ascii="Calibri" w:hAnsi="Calibri" w:cs="Calibri"/>
          <w:b/>
          <w:bCs/>
          <w:sz w:val="24"/>
          <w:szCs w:val="24"/>
        </w:rPr>
        <w:t xml:space="preserve">Rightsizing </w:t>
      </w:r>
    </w:p>
    <w:p w14:paraId="7EE79BCA" w14:textId="77777777" w:rsidR="001372B4" w:rsidRPr="00902CB4" w:rsidRDefault="001372B4" w:rsidP="008E28D4">
      <w:pPr>
        <w:rPr>
          <w:rFonts w:ascii="Calibri" w:hAnsi="Calibri" w:cs="Calibri"/>
          <w:b/>
          <w:bCs/>
          <w:sz w:val="24"/>
          <w:szCs w:val="24"/>
        </w:rPr>
      </w:pPr>
    </w:p>
    <w:p w14:paraId="6EFD23A0" w14:textId="2D95704F" w:rsidR="00ED52F2" w:rsidRDefault="00902CB4" w:rsidP="006668D8">
      <w:pPr>
        <w:jc w:val="both"/>
        <w:rPr>
          <w:rFonts w:ascii="Calibri" w:hAnsi="Calibri" w:cs="Calibri"/>
          <w:sz w:val="24"/>
          <w:szCs w:val="24"/>
        </w:rPr>
      </w:pPr>
      <w:r w:rsidRPr="672FB3C8">
        <w:rPr>
          <w:rFonts w:ascii="Calibri" w:hAnsi="Calibri" w:cs="Calibri"/>
          <w:sz w:val="24"/>
          <w:szCs w:val="24"/>
        </w:rPr>
        <w:t xml:space="preserve">There is a number of applicants on </w:t>
      </w:r>
      <w:r w:rsidR="00CB5695" w:rsidRPr="672FB3C8">
        <w:rPr>
          <w:rFonts w:ascii="Calibri" w:hAnsi="Calibri" w:cs="Calibri"/>
          <w:sz w:val="24"/>
          <w:szCs w:val="24"/>
        </w:rPr>
        <w:t>Knowsley’s</w:t>
      </w:r>
      <w:r w:rsidRPr="672FB3C8">
        <w:rPr>
          <w:rFonts w:ascii="Calibri" w:hAnsi="Calibri" w:cs="Calibri"/>
          <w:sz w:val="24"/>
          <w:szCs w:val="24"/>
        </w:rPr>
        <w:t xml:space="preserve"> Housing Register who are under </w:t>
      </w:r>
      <w:r w:rsidR="00D856B6" w:rsidRPr="672FB3C8">
        <w:rPr>
          <w:rFonts w:ascii="Calibri" w:hAnsi="Calibri" w:cs="Calibri"/>
          <w:sz w:val="24"/>
          <w:szCs w:val="24"/>
        </w:rPr>
        <w:t>occupying their current accommodation</w:t>
      </w:r>
      <w:r w:rsidR="5E4DD5C9" w:rsidRPr="672FB3C8">
        <w:rPr>
          <w:rFonts w:ascii="Calibri" w:hAnsi="Calibri" w:cs="Calibri"/>
          <w:sz w:val="24"/>
          <w:szCs w:val="24"/>
        </w:rPr>
        <w:t>.</w:t>
      </w:r>
      <w:r w:rsidR="00D856B6" w:rsidRPr="672FB3C8">
        <w:rPr>
          <w:rFonts w:ascii="Calibri" w:hAnsi="Calibri" w:cs="Calibri"/>
          <w:sz w:val="24"/>
          <w:szCs w:val="24"/>
        </w:rPr>
        <w:t xml:space="preserve"> </w:t>
      </w:r>
      <w:r w:rsidR="4192C154" w:rsidRPr="672FB3C8">
        <w:rPr>
          <w:rFonts w:ascii="Calibri" w:hAnsi="Calibri" w:cs="Calibri"/>
          <w:sz w:val="24"/>
          <w:szCs w:val="24"/>
        </w:rPr>
        <w:t xml:space="preserve">As of May 2024, there are currently </w:t>
      </w:r>
      <w:r w:rsidR="00A81E28">
        <w:rPr>
          <w:rFonts w:ascii="Calibri" w:hAnsi="Calibri" w:cs="Calibri"/>
          <w:sz w:val="24"/>
          <w:szCs w:val="24"/>
        </w:rPr>
        <w:t>234</w:t>
      </w:r>
      <w:r w:rsidR="00A81E28" w:rsidRPr="672FB3C8">
        <w:rPr>
          <w:rFonts w:ascii="Calibri" w:hAnsi="Calibri" w:cs="Calibri"/>
          <w:sz w:val="24"/>
          <w:szCs w:val="24"/>
        </w:rPr>
        <w:t xml:space="preserve"> </w:t>
      </w:r>
      <w:r w:rsidR="4192C154" w:rsidRPr="672FB3C8">
        <w:rPr>
          <w:rFonts w:ascii="Calibri" w:hAnsi="Calibri" w:cs="Calibri"/>
          <w:sz w:val="24"/>
          <w:szCs w:val="24"/>
        </w:rPr>
        <w:t xml:space="preserve">active </w:t>
      </w:r>
      <w:r w:rsidR="58402AE1" w:rsidRPr="672FB3C8">
        <w:rPr>
          <w:rFonts w:ascii="Calibri" w:hAnsi="Calibri" w:cs="Calibri"/>
          <w:sz w:val="24"/>
          <w:szCs w:val="24"/>
        </w:rPr>
        <w:t>applicants</w:t>
      </w:r>
      <w:r w:rsidR="4192C154" w:rsidRPr="672FB3C8">
        <w:rPr>
          <w:rFonts w:ascii="Calibri" w:hAnsi="Calibri" w:cs="Calibri"/>
          <w:sz w:val="24"/>
          <w:szCs w:val="24"/>
        </w:rPr>
        <w:t xml:space="preserve"> currently under</w:t>
      </w:r>
      <w:r w:rsidR="6EB28B7D" w:rsidRPr="672FB3C8">
        <w:rPr>
          <w:rFonts w:ascii="Calibri" w:hAnsi="Calibri" w:cs="Calibri"/>
          <w:sz w:val="24"/>
          <w:szCs w:val="24"/>
        </w:rPr>
        <w:t xml:space="preserve"> </w:t>
      </w:r>
      <w:r w:rsidR="4192C154" w:rsidRPr="672FB3C8">
        <w:rPr>
          <w:rFonts w:ascii="Calibri" w:hAnsi="Calibri" w:cs="Calibri"/>
          <w:sz w:val="24"/>
          <w:szCs w:val="24"/>
        </w:rPr>
        <w:t>o</w:t>
      </w:r>
      <w:r w:rsidR="335BAD66" w:rsidRPr="672FB3C8">
        <w:rPr>
          <w:rFonts w:ascii="Calibri" w:hAnsi="Calibri" w:cs="Calibri"/>
          <w:sz w:val="24"/>
          <w:szCs w:val="24"/>
        </w:rPr>
        <w:t>ccu</w:t>
      </w:r>
      <w:r w:rsidR="4192C154" w:rsidRPr="672FB3C8">
        <w:rPr>
          <w:rFonts w:ascii="Calibri" w:hAnsi="Calibri" w:cs="Calibri"/>
          <w:sz w:val="24"/>
          <w:szCs w:val="24"/>
        </w:rPr>
        <w:t>p</w:t>
      </w:r>
      <w:r w:rsidR="2700FEC3" w:rsidRPr="672FB3C8">
        <w:rPr>
          <w:rFonts w:ascii="Calibri" w:hAnsi="Calibri" w:cs="Calibri"/>
          <w:sz w:val="24"/>
          <w:szCs w:val="24"/>
        </w:rPr>
        <w:t>y</w:t>
      </w:r>
      <w:r w:rsidR="4192C154" w:rsidRPr="672FB3C8">
        <w:rPr>
          <w:rFonts w:ascii="Calibri" w:hAnsi="Calibri" w:cs="Calibri"/>
          <w:sz w:val="24"/>
          <w:szCs w:val="24"/>
        </w:rPr>
        <w:t xml:space="preserve">ing </w:t>
      </w:r>
      <w:r w:rsidR="2C36A91C" w:rsidRPr="672FB3C8">
        <w:rPr>
          <w:rFonts w:ascii="Calibri" w:hAnsi="Calibri" w:cs="Calibri"/>
          <w:sz w:val="24"/>
          <w:szCs w:val="24"/>
        </w:rPr>
        <w:t>their</w:t>
      </w:r>
      <w:r w:rsidR="4192C154" w:rsidRPr="672FB3C8">
        <w:rPr>
          <w:rFonts w:ascii="Calibri" w:hAnsi="Calibri" w:cs="Calibri"/>
          <w:sz w:val="24"/>
          <w:szCs w:val="24"/>
        </w:rPr>
        <w:t xml:space="preserve"> </w:t>
      </w:r>
      <w:r w:rsidR="56553AEA" w:rsidRPr="672FB3C8">
        <w:rPr>
          <w:rFonts w:ascii="Calibri" w:hAnsi="Calibri" w:cs="Calibri"/>
          <w:sz w:val="24"/>
          <w:szCs w:val="24"/>
        </w:rPr>
        <w:t>existing</w:t>
      </w:r>
      <w:r w:rsidR="4192C154" w:rsidRPr="672FB3C8">
        <w:rPr>
          <w:rFonts w:ascii="Calibri" w:hAnsi="Calibri" w:cs="Calibri"/>
          <w:sz w:val="24"/>
          <w:szCs w:val="24"/>
        </w:rPr>
        <w:t xml:space="preserve"> property by one or two bedrooms. A breakdown of these properties is as follows:</w:t>
      </w:r>
    </w:p>
    <w:p w14:paraId="7C5A60B1" w14:textId="77777777" w:rsidR="00A81E28" w:rsidRDefault="00A81E28" w:rsidP="006668D8">
      <w:pPr>
        <w:jc w:val="both"/>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681"/>
        <w:gridCol w:w="3118"/>
      </w:tblGrid>
      <w:tr w:rsidR="00A81E28" w14:paraId="45D66B58" w14:textId="77777777" w:rsidTr="00ED1C68">
        <w:tc>
          <w:tcPr>
            <w:tcW w:w="3681" w:type="dxa"/>
          </w:tcPr>
          <w:p w14:paraId="626EC911" w14:textId="2A015F22" w:rsidR="00A81E28" w:rsidRPr="00ED1C68" w:rsidRDefault="005023C4" w:rsidP="006668D8">
            <w:pPr>
              <w:jc w:val="both"/>
              <w:rPr>
                <w:rFonts w:ascii="Calibri" w:hAnsi="Calibri" w:cs="Calibri"/>
                <w:b/>
                <w:bCs/>
                <w:sz w:val="24"/>
                <w:szCs w:val="24"/>
              </w:rPr>
            </w:pPr>
            <w:r w:rsidRPr="00ED1C68">
              <w:rPr>
                <w:rFonts w:ascii="Calibri" w:hAnsi="Calibri" w:cs="Calibri"/>
                <w:b/>
                <w:bCs/>
                <w:sz w:val="24"/>
                <w:szCs w:val="24"/>
              </w:rPr>
              <w:t xml:space="preserve">Under occupying </w:t>
            </w:r>
          </w:p>
        </w:tc>
        <w:tc>
          <w:tcPr>
            <w:tcW w:w="3118" w:type="dxa"/>
          </w:tcPr>
          <w:p w14:paraId="4F247CD9" w14:textId="67D9DC7C" w:rsidR="00A81E28" w:rsidRPr="00ED1C68" w:rsidRDefault="00ED1C68" w:rsidP="006668D8">
            <w:pPr>
              <w:jc w:val="both"/>
              <w:rPr>
                <w:rFonts w:ascii="Calibri" w:hAnsi="Calibri" w:cs="Calibri"/>
                <w:b/>
                <w:bCs/>
                <w:sz w:val="24"/>
                <w:szCs w:val="24"/>
              </w:rPr>
            </w:pPr>
            <w:r w:rsidRPr="00ED1C68">
              <w:rPr>
                <w:rFonts w:ascii="Calibri" w:hAnsi="Calibri" w:cs="Calibri"/>
                <w:b/>
                <w:bCs/>
                <w:sz w:val="24"/>
                <w:szCs w:val="24"/>
              </w:rPr>
              <w:t xml:space="preserve">Number of active applicants </w:t>
            </w:r>
          </w:p>
        </w:tc>
      </w:tr>
      <w:tr w:rsidR="00A81E28" w14:paraId="502682C9" w14:textId="77777777" w:rsidTr="00ED1C68">
        <w:tc>
          <w:tcPr>
            <w:tcW w:w="3681" w:type="dxa"/>
          </w:tcPr>
          <w:p w14:paraId="4DE0F8FE" w14:textId="5277FE87" w:rsidR="00A81E28" w:rsidRDefault="00ED1C68" w:rsidP="006668D8">
            <w:pPr>
              <w:jc w:val="both"/>
              <w:rPr>
                <w:rFonts w:ascii="Calibri" w:hAnsi="Calibri" w:cs="Calibri"/>
                <w:sz w:val="24"/>
                <w:szCs w:val="24"/>
              </w:rPr>
            </w:pPr>
            <w:r>
              <w:rPr>
                <w:rFonts w:ascii="Calibri" w:hAnsi="Calibri" w:cs="Calibri"/>
                <w:sz w:val="24"/>
                <w:szCs w:val="24"/>
              </w:rPr>
              <w:t>Under-occupying by</w:t>
            </w:r>
            <w:r w:rsidR="005023C4">
              <w:rPr>
                <w:rFonts w:ascii="Calibri" w:hAnsi="Calibri" w:cs="Calibri"/>
                <w:sz w:val="24"/>
                <w:szCs w:val="24"/>
              </w:rPr>
              <w:t xml:space="preserve"> 1 bedroom </w:t>
            </w:r>
          </w:p>
        </w:tc>
        <w:tc>
          <w:tcPr>
            <w:tcW w:w="3118" w:type="dxa"/>
          </w:tcPr>
          <w:p w14:paraId="4ABD02F0" w14:textId="07523EFA" w:rsidR="00A81E28" w:rsidRDefault="00ED1C68" w:rsidP="006668D8">
            <w:pPr>
              <w:jc w:val="both"/>
              <w:rPr>
                <w:rFonts w:ascii="Calibri" w:hAnsi="Calibri" w:cs="Calibri"/>
                <w:sz w:val="24"/>
                <w:szCs w:val="24"/>
              </w:rPr>
            </w:pPr>
            <w:r>
              <w:rPr>
                <w:rFonts w:ascii="Calibri" w:hAnsi="Calibri" w:cs="Calibri"/>
                <w:sz w:val="24"/>
                <w:szCs w:val="24"/>
              </w:rPr>
              <w:t>173</w:t>
            </w:r>
          </w:p>
        </w:tc>
      </w:tr>
      <w:tr w:rsidR="00A81E28" w14:paraId="0385F483" w14:textId="77777777" w:rsidTr="00ED1C68">
        <w:tc>
          <w:tcPr>
            <w:tcW w:w="3681" w:type="dxa"/>
          </w:tcPr>
          <w:p w14:paraId="70742B70" w14:textId="36B4E280" w:rsidR="00A81E28" w:rsidRDefault="00ED1C68" w:rsidP="006668D8">
            <w:pPr>
              <w:jc w:val="both"/>
              <w:rPr>
                <w:rFonts w:ascii="Calibri" w:hAnsi="Calibri" w:cs="Calibri"/>
                <w:sz w:val="24"/>
                <w:szCs w:val="24"/>
              </w:rPr>
            </w:pPr>
            <w:r>
              <w:rPr>
                <w:rFonts w:ascii="Calibri" w:hAnsi="Calibri" w:cs="Calibri"/>
                <w:sz w:val="24"/>
                <w:szCs w:val="24"/>
              </w:rPr>
              <w:t>Under-occupying by 2+ bedrooms</w:t>
            </w:r>
          </w:p>
        </w:tc>
        <w:tc>
          <w:tcPr>
            <w:tcW w:w="3118" w:type="dxa"/>
          </w:tcPr>
          <w:p w14:paraId="33B36066" w14:textId="0FE20B63" w:rsidR="00A81E28" w:rsidRDefault="00ED1C68" w:rsidP="006668D8">
            <w:pPr>
              <w:jc w:val="both"/>
              <w:rPr>
                <w:rFonts w:ascii="Calibri" w:hAnsi="Calibri" w:cs="Calibri"/>
                <w:sz w:val="24"/>
                <w:szCs w:val="24"/>
              </w:rPr>
            </w:pPr>
            <w:r>
              <w:rPr>
                <w:rFonts w:ascii="Calibri" w:hAnsi="Calibri" w:cs="Calibri"/>
                <w:sz w:val="24"/>
                <w:szCs w:val="24"/>
              </w:rPr>
              <w:t>61</w:t>
            </w:r>
          </w:p>
        </w:tc>
      </w:tr>
      <w:tr w:rsidR="00FC468D" w14:paraId="7D354988" w14:textId="77777777" w:rsidTr="00ED1C68">
        <w:tc>
          <w:tcPr>
            <w:tcW w:w="3681" w:type="dxa"/>
          </w:tcPr>
          <w:p w14:paraId="40F97734" w14:textId="1E89BE9C" w:rsidR="00FC468D" w:rsidRDefault="00FC468D" w:rsidP="00FC468D">
            <w:pPr>
              <w:jc w:val="both"/>
              <w:rPr>
                <w:rFonts w:ascii="Calibri" w:hAnsi="Calibri" w:cs="Calibri"/>
                <w:sz w:val="24"/>
                <w:szCs w:val="24"/>
              </w:rPr>
            </w:pPr>
            <w:r>
              <w:rPr>
                <w:rFonts w:ascii="Calibri" w:hAnsi="Calibri" w:cs="Calibri"/>
                <w:sz w:val="24"/>
                <w:szCs w:val="24"/>
              </w:rPr>
              <w:t>Total</w:t>
            </w:r>
          </w:p>
        </w:tc>
        <w:tc>
          <w:tcPr>
            <w:tcW w:w="3118" w:type="dxa"/>
          </w:tcPr>
          <w:p w14:paraId="3D5EE99F" w14:textId="0109BEE5" w:rsidR="00FC468D" w:rsidRDefault="00FC468D" w:rsidP="006668D8">
            <w:pPr>
              <w:jc w:val="both"/>
              <w:rPr>
                <w:rFonts w:ascii="Calibri" w:hAnsi="Calibri" w:cs="Calibri"/>
                <w:sz w:val="24"/>
                <w:szCs w:val="24"/>
              </w:rPr>
            </w:pPr>
            <w:r>
              <w:rPr>
                <w:rFonts w:ascii="Calibri" w:hAnsi="Calibri" w:cs="Calibri"/>
                <w:sz w:val="24"/>
                <w:szCs w:val="24"/>
              </w:rPr>
              <w:t>234</w:t>
            </w:r>
          </w:p>
        </w:tc>
      </w:tr>
    </w:tbl>
    <w:p w14:paraId="61E63CCE" w14:textId="02BB3DC5" w:rsidR="00ED52F2" w:rsidRDefault="00ED52F2" w:rsidP="006668D8">
      <w:pPr>
        <w:jc w:val="both"/>
        <w:rPr>
          <w:rFonts w:ascii="Calibri" w:hAnsi="Calibri" w:cs="Calibri"/>
          <w:sz w:val="24"/>
          <w:szCs w:val="24"/>
        </w:rPr>
      </w:pPr>
    </w:p>
    <w:p w14:paraId="216BDBB6" w14:textId="5A099BBE" w:rsidR="00ED52F2" w:rsidRDefault="02B1473A" w:rsidP="006668D8">
      <w:pPr>
        <w:jc w:val="both"/>
        <w:rPr>
          <w:rFonts w:ascii="Calibri" w:hAnsi="Calibri" w:cs="Calibri"/>
          <w:sz w:val="24"/>
          <w:szCs w:val="24"/>
        </w:rPr>
      </w:pPr>
      <w:r w:rsidRPr="672FB3C8">
        <w:rPr>
          <w:rFonts w:ascii="Calibri" w:hAnsi="Calibri" w:cs="Calibri"/>
          <w:sz w:val="24"/>
          <w:szCs w:val="24"/>
        </w:rPr>
        <w:t>I</w:t>
      </w:r>
      <w:r w:rsidR="00D856B6" w:rsidRPr="672FB3C8">
        <w:rPr>
          <w:rFonts w:ascii="Calibri" w:hAnsi="Calibri" w:cs="Calibri"/>
          <w:sz w:val="24"/>
          <w:szCs w:val="24"/>
        </w:rPr>
        <w:t>n order to promote ‘rightsizing’</w:t>
      </w:r>
      <w:r w:rsidR="653C91AD" w:rsidRPr="672FB3C8">
        <w:rPr>
          <w:rFonts w:ascii="Calibri" w:hAnsi="Calibri" w:cs="Calibri"/>
          <w:sz w:val="24"/>
          <w:szCs w:val="24"/>
        </w:rPr>
        <w:t xml:space="preserve"> within the borough, it is proposed </w:t>
      </w:r>
      <w:r w:rsidR="001372B4">
        <w:rPr>
          <w:rFonts w:ascii="Calibri" w:hAnsi="Calibri" w:cs="Calibri"/>
          <w:sz w:val="24"/>
          <w:szCs w:val="24"/>
        </w:rPr>
        <w:t xml:space="preserve">that </w:t>
      </w:r>
      <w:r w:rsidR="00FC468D">
        <w:rPr>
          <w:rFonts w:ascii="Calibri" w:hAnsi="Calibri" w:cs="Calibri"/>
          <w:sz w:val="24"/>
          <w:szCs w:val="24"/>
        </w:rPr>
        <w:t>7 (3</w:t>
      </w:r>
      <w:r w:rsidR="000D7A70">
        <w:rPr>
          <w:rFonts w:ascii="Calibri" w:hAnsi="Calibri" w:cs="Calibri"/>
          <w:sz w:val="24"/>
          <w:szCs w:val="24"/>
        </w:rPr>
        <w:t>2</w:t>
      </w:r>
      <w:r w:rsidR="00FC468D">
        <w:rPr>
          <w:rFonts w:ascii="Calibri" w:hAnsi="Calibri" w:cs="Calibri"/>
          <w:sz w:val="24"/>
          <w:szCs w:val="24"/>
        </w:rPr>
        <w:t>%)</w:t>
      </w:r>
      <w:r w:rsidR="653C91AD" w:rsidRPr="672FB3C8">
        <w:rPr>
          <w:rFonts w:ascii="Calibri" w:hAnsi="Calibri" w:cs="Calibri"/>
          <w:sz w:val="24"/>
          <w:szCs w:val="24"/>
        </w:rPr>
        <w:t xml:space="preserve"> properties will be</w:t>
      </w:r>
      <w:r w:rsidR="48694BE6" w:rsidRPr="672FB3C8">
        <w:rPr>
          <w:rFonts w:ascii="Calibri" w:hAnsi="Calibri" w:cs="Calibri"/>
          <w:sz w:val="24"/>
          <w:szCs w:val="24"/>
        </w:rPr>
        <w:t xml:space="preserve"> prioritised for applicants who are current social housing tenants and are </w:t>
      </w:r>
      <w:r w:rsidR="65379155" w:rsidRPr="672FB3C8">
        <w:rPr>
          <w:rFonts w:ascii="Calibri" w:hAnsi="Calibri" w:cs="Calibri"/>
          <w:sz w:val="24"/>
          <w:szCs w:val="24"/>
        </w:rPr>
        <w:t>under occupying</w:t>
      </w:r>
      <w:r w:rsidR="48694BE6" w:rsidRPr="672FB3C8">
        <w:rPr>
          <w:rFonts w:ascii="Calibri" w:hAnsi="Calibri" w:cs="Calibri"/>
          <w:sz w:val="24"/>
          <w:szCs w:val="24"/>
        </w:rPr>
        <w:t xml:space="preserve"> their cu</w:t>
      </w:r>
      <w:r w:rsidR="7A8B3556" w:rsidRPr="672FB3C8">
        <w:rPr>
          <w:rFonts w:ascii="Calibri" w:hAnsi="Calibri" w:cs="Calibri"/>
          <w:sz w:val="24"/>
          <w:szCs w:val="24"/>
        </w:rPr>
        <w:t xml:space="preserve">rrent property by </w:t>
      </w:r>
      <w:r w:rsidR="48694BE6" w:rsidRPr="672FB3C8">
        <w:rPr>
          <w:rFonts w:ascii="Calibri" w:hAnsi="Calibri" w:cs="Calibri"/>
          <w:sz w:val="24"/>
          <w:szCs w:val="24"/>
        </w:rPr>
        <w:t xml:space="preserve">one or two bedrooms </w:t>
      </w:r>
      <w:r w:rsidR="00D856B6" w:rsidRPr="672FB3C8">
        <w:rPr>
          <w:rFonts w:ascii="Calibri" w:hAnsi="Calibri" w:cs="Calibri"/>
          <w:sz w:val="24"/>
          <w:szCs w:val="24"/>
        </w:rPr>
        <w:t>to enable them to move into accommodation that meets their need</w:t>
      </w:r>
      <w:r w:rsidR="38523F58" w:rsidRPr="672FB3C8">
        <w:rPr>
          <w:rFonts w:ascii="Calibri" w:hAnsi="Calibri" w:cs="Calibri"/>
          <w:sz w:val="24"/>
          <w:szCs w:val="24"/>
        </w:rPr>
        <w:t>s</w:t>
      </w:r>
      <w:r w:rsidR="00D856B6" w:rsidRPr="672FB3C8">
        <w:rPr>
          <w:rFonts w:ascii="Calibri" w:hAnsi="Calibri" w:cs="Calibri"/>
          <w:sz w:val="24"/>
          <w:szCs w:val="24"/>
        </w:rPr>
        <w:t xml:space="preserve">. In turn, </w:t>
      </w:r>
      <w:r w:rsidR="00902CB4" w:rsidRPr="672FB3C8">
        <w:rPr>
          <w:rFonts w:ascii="Calibri" w:hAnsi="Calibri" w:cs="Calibri"/>
          <w:sz w:val="24"/>
          <w:szCs w:val="24"/>
        </w:rPr>
        <w:t xml:space="preserve">this will create a chain of lets and free up bigger properties for larger families in Knowsley, </w:t>
      </w:r>
      <w:r w:rsidR="00D856B6" w:rsidRPr="002641CE">
        <w:rPr>
          <w:rFonts w:ascii="Calibri" w:hAnsi="Calibri" w:cs="Calibri"/>
          <w:sz w:val="24"/>
          <w:szCs w:val="24"/>
        </w:rPr>
        <w:t>helping to</w:t>
      </w:r>
      <w:r w:rsidR="00902CB4" w:rsidRPr="002641CE">
        <w:rPr>
          <w:rFonts w:ascii="Calibri" w:hAnsi="Calibri" w:cs="Calibri"/>
          <w:sz w:val="24"/>
          <w:szCs w:val="24"/>
        </w:rPr>
        <w:t xml:space="preserve"> address the lack of larger </w:t>
      </w:r>
      <w:r w:rsidR="00D856B6" w:rsidRPr="002641CE">
        <w:rPr>
          <w:rFonts w:ascii="Calibri" w:hAnsi="Calibri" w:cs="Calibri"/>
          <w:sz w:val="24"/>
          <w:szCs w:val="24"/>
        </w:rPr>
        <w:t xml:space="preserve">properties </w:t>
      </w:r>
      <w:r w:rsidR="1C5F6AF1" w:rsidRPr="002641CE">
        <w:rPr>
          <w:rFonts w:ascii="Calibri" w:hAnsi="Calibri" w:cs="Calibri"/>
          <w:sz w:val="24"/>
          <w:szCs w:val="24"/>
        </w:rPr>
        <w:t>available</w:t>
      </w:r>
      <w:r w:rsidR="00D856B6" w:rsidRPr="002641CE">
        <w:rPr>
          <w:rFonts w:ascii="Calibri" w:hAnsi="Calibri" w:cs="Calibri"/>
          <w:sz w:val="24"/>
          <w:szCs w:val="24"/>
        </w:rPr>
        <w:t xml:space="preserve"> </w:t>
      </w:r>
      <w:r w:rsidR="00902CB4" w:rsidRPr="002641CE">
        <w:rPr>
          <w:rFonts w:ascii="Calibri" w:hAnsi="Calibri" w:cs="Calibri"/>
          <w:sz w:val="24"/>
          <w:szCs w:val="24"/>
        </w:rPr>
        <w:t>for</w:t>
      </w:r>
      <w:r w:rsidR="00D856B6" w:rsidRPr="002641CE">
        <w:rPr>
          <w:rFonts w:ascii="Calibri" w:hAnsi="Calibri" w:cs="Calibri"/>
          <w:sz w:val="24"/>
          <w:szCs w:val="24"/>
        </w:rPr>
        <w:t xml:space="preserve"> larger</w:t>
      </w:r>
      <w:r w:rsidR="00902CB4" w:rsidRPr="002641CE">
        <w:rPr>
          <w:rFonts w:ascii="Calibri" w:hAnsi="Calibri" w:cs="Calibri"/>
          <w:sz w:val="24"/>
          <w:szCs w:val="24"/>
        </w:rPr>
        <w:t xml:space="preserve"> families</w:t>
      </w:r>
      <w:r w:rsidR="00D856B6" w:rsidRPr="002641CE">
        <w:rPr>
          <w:rFonts w:ascii="Calibri" w:hAnsi="Calibri" w:cs="Calibri"/>
          <w:sz w:val="24"/>
          <w:szCs w:val="24"/>
        </w:rPr>
        <w:t>.</w:t>
      </w:r>
      <w:r w:rsidR="002563D3">
        <w:rPr>
          <w:rFonts w:ascii="Calibri" w:hAnsi="Calibri" w:cs="Calibri"/>
          <w:sz w:val="24"/>
          <w:szCs w:val="24"/>
        </w:rPr>
        <w:t xml:space="preserve"> </w:t>
      </w:r>
    </w:p>
    <w:p w14:paraId="41D89555" w14:textId="77777777" w:rsidR="00902CB4" w:rsidRDefault="00902CB4" w:rsidP="008E28D4">
      <w:pPr>
        <w:rPr>
          <w:rFonts w:ascii="Calibri" w:hAnsi="Calibri" w:cs="Calibri"/>
          <w:sz w:val="24"/>
          <w:szCs w:val="24"/>
        </w:rPr>
      </w:pPr>
    </w:p>
    <w:p w14:paraId="2CE5AAE8" w14:textId="38409BDA" w:rsidR="00902CB4" w:rsidRDefault="00902CB4" w:rsidP="006668D8">
      <w:pPr>
        <w:jc w:val="both"/>
        <w:rPr>
          <w:rFonts w:ascii="Calibri" w:hAnsi="Calibri" w:cs="Calibri"/>
          <w:b/>
          <w:bCs/>
          <w:sz w:val="24"/>
          <w:szCs w:val="24"/>
        </w:rPr>
      </w:pPr>
      <w:r w:rsidRPr="672FB3C8">
        <w:rPr>
          <w:rFonts w:ascii="Calibri" w:hAnsi="Calibri" w:cs="Calibri"/>
          <w:b/>
          <w:bCs/>
          <w:sz w:val="24"/>
          <w:szCs w:val="24"/>
        </w:rPr>
        <w:t>Homelessness</w:t>
      </w:r>
    </w:p>
    <w:p w14:paraId="2E5A32F0" w14:textId="77777777" w:rsidR="001372B4" w:rsidRDefault="001372B4" w:rsidP="006668D8">
      <w:pPr>
        <w:jc w:val="both"/>
        <w:rPr>
          <w:rFonts w:ascii="Calibri" w:hAnsi="Calibri" w:cs="Calibri"/>
          <w:b/>
          <w:bCs/>
          <w:sz w:val="24"/>
          <w:szCs w:val="24"/>
        </w:rPr>
      </w:pPr>
    </w:p>
    <w:p w14:paraId="01DA55A2" w14:textId="5F739541" w:rsidR="00902CB4" w:rsidRPr="00902CB4" w:rsidRDefault="00902CB4" w:rsidP="006668D8">
      <w:pPr>
        <w:jc w:val="both"/>
        <w:rPr>
          <w:rFonts w:ascii="Calibri" w:hAnsi="Calibri" w:cs="Calibri"/>
          <w:sz w:val="24"/>
          <w:szCs w:val="24"/>
        </w:rPr>
      </w:pPr>
      <w:r w:rsidRPr="672FB3C8">
        <w:rPr>
          <w:rFonts w:ascii="Calibri" w:hAnsi="Calibri" w:cs="Calibri"/>
          <w:sz w:val="24"/>
          <w:szCs w:val="24"/>
        </w:rPr>
        <w:t>Homelessness is a</w:t>
      </w:r>
      <w:r w:rsidR="00D856B6" w:rsidRPr="672FB3C8">
        <w:rPr>
          <w:rFonts w:ascii="Calibri" w:hAnsi="Calibri" w:cs="Calibri"/>
          <w:sz w:val="24"/>
          <w:szCs w:val="24"/>
        </w:rPr>
        <w:t xml:space="preserve"> growing issue within the borough of Knowsley</w:t>
      </w:r>
      <w:r w:rsidR="00CF02B2" w:rsidRPr="002641CE">
        <w:rPr>
          <w:rFonts w:ascii="Calibri" w:hAnsi="Calibri" w:cs="Calibri"/>
          <w:sz w:val="24"/>
          <w:szCs w:val="24"/>
        </w:rPr>
        <w:t xml:space="preserve">, with homelessness rates continuing to rise. </w:t>
      </w:r>
      <w:r w:rsidR="00B86131" w:rsidRPr="002641CE">
        <w:rPr>
          <w:rFonts w:ascii="Calibri" w:hAnsi="Calibri" w:cs="Calibri"/>
          <w:sz w:val="24"/>
          <w:szCs w:val="24"/>
        </w:rPr>
        <w:t xml:space="preserve">This is an </w:t>
      </w:r>
      <w:r w:rsidRPr="002641CE">
        <w:rPr>
          <w:rFonts w:ascii="Calibri" w:hAnsi="Calibri" w:cs="Calibri"/>
          <w:sz w:val="24"/>
          <w:szCs w:val="24"/>
        </w:rPr>
        <w:t>issue that has a huge impact on people’s lives, health</w:t>
      </w:r>
      <w:r w:rsidR="00CF02B2" w:rsidRPr="002641CE">
        <w:rPr>
          <w:rFonts w:ascii="Calibri" w:hAnsi="Calibri" w:cs="Calibri"/>
          <w:sz w:val="24"/>
          <w:szCs w:val="24"/>
        </w:rPr>
        <w:t xml:space="preserve"> and</w:t>
      </w:r>
      <w:r w:rsidRPr="002641CE">
        <w:rPr>
          <w:rFonts w:ascii="Calibri" w:hAnsi="Calibri" w:cs="Calibri"/>
          <w:sz w:val="24"/>
          <w:szCs w:val="24"/>
        </w:rPr>
        <w:t xml:space="preserve"> wellbeing</w:t>
      </w:r>
      <w:r w:rsidR="00CF02B2" w:rsidRPr="002641CE">
        <w:rPr>
          <w:rFonts w:ascii="Calibri" w:hAnsi="Calibri" w:cs="Calibri"/>
          <w:sz w:val="24"/>
          <w:szCs w:val="24"/>
        </w:rPr>
        <w:t xml:space="preserve">. </w:t>
      </w:r>
      <w:r w:rsidRPr="002641CE">
        <w:rPr>
          <w:rFonts w:ascii="Calibri" w:hAnsi="Calibri" w:cs="Calibri"/>
          <w:sz w:val="24"/>
          <w:szCs w:val="24"/>
        </w:rPr>
        <w:t xml:space="preserve">Onward Homes </w:t>
      </w:r>
      <w:r w:rsidR="00CF02B2" w:rsidRPr="002641CE">
        <w:rPr>
          <w:rFonts w:ascii="Calibri" w:hAnsi="Calibri" w:cs="Calibri"/>
          <w:sz w:val="24"/>
          <w:szCs w:val="24"/>
        </w:rPr>
        <w:t xml:space="preserve">is </w:t>
      </w:r>
      <w:r w:rsidR="00BF13D8" w:rsidRPr="002641CE">
        <w:rPr>
          <w:rFonts w:ascii="Calibri" w:hAnsi="Calibri" w:cs="Calibri"/>
          <w:sz w:val="24"/>
          <w:szCs w:val="24"/>
        </w:rPr>
        <w:t>committed</w:t>
      </w:r>
      <w:r w:rsidRPr="002641CE">
        <w:rPr>
          <w:rFonts w:ascii="Calibri" w:hAnsi="Calibri" w:cs="Calibri"/>
          <w:sz w:val="24"/>
          <w:szCs w:val="24"/>
        </w:rPr>
        <w:t xml:space="preserve"> to giving some preference to those w</w:t>
      </w:r>
      <w:r w:rsidRPr="672FB3C8">
        <w:rPr>
          <w:rFonts w:ascii="Calibri" w:hAnsi="Calibri" w:cs="Calibri"/>
          <w:sz w:val="24"/>
          <w:szCs w:val="24"/>
        </w:rPr>
        <w:t>ho are homeless</w:t>
      </w:r>
      <w:r w:rsidR="00CF02B2" w:rsidRPr="672FB3C8">
        <w:rPr>
          <w:rFonts w:ascii="Calibri" w:hAnsi="Calibri" w:cs="Calibri"/>
          <w:sz w:val="24"/>
          <w:szCs w:val="24"/>
        </w:rPr>
        <w:t xml:space="preserve"> in order to meet the housing needs of Knowsley residents. </w:t>
      </w:r>
      <w:r w:rsidR="001834E5">
        <w:rPr>
          <w:rFonts w:ascii="Calibri" w:hAnsi="Calibri" w:cs="Calibri"/>
          <w:sz w:val="24"/>
          <w:szCs w:val="24"/>
        </w:rPr>
        <w:t xml:space="preserve">As of May 2024, there were 415 </w:t>
      </w:r>
      <w:r w:rsidR="001372B4">
        <w:rPr>
          <w:rFonts w:ascii="Calibri" w:hAnsi="Calibri" w:cs="Calibri"/>
          <w:sz w:val="24"/>
          <w:szCs w:val="24"/>
        </w:rPr>
        <w:t>a</w:t>
      </w:r>
      <w:r w:rsidR="001834E5">
        <w:rPr>
          <w:rFonts w:ascii="Calibri" w:hAnsi="Calibri" w:cs="Calibri"/>
          <w:sz w:val="24"/>
          <w:szCs w:val="24"/>
        </w:rPr>
        <w:t xml:space="preserve">ctive applicants on Property Pool Plus in Knowsley who were homeless and in need of a </w:t>
      </w:r>
      <w:r w:rsidR="001372B4">
        <w:rPr>
          <w:rFonts w:ascii="Calibri" w:hAnsi="Calibri" w:cs="Calibri"/>
          <w:sz w:val="24"/>
          <w:szCs w:val="24"/>
        </w:rPr>
        <w:t>one</w:t>
      </w:r>
      <w:r w:rsidR="00FF0100">
        <w:rPr>
          <w:rFonts w:ascii="Calibri" w:hAnsi="Calibri" w:cs="Calibri"/>
          <w:sz w:val="24"/>
          <w:szCs w:val="24"/>
        </w:rPr>
        <w:t xml:space="preserve"> </w:t>
      </w:r>
      <w:r w:rsidR="001834E5">
        <w:rPr>
          <w:rFonts w:ascii="Calibri" w:hAnsi="Calibri" w:cs="Calibri"/>
          <w:sz w:val="24"/>
          <w:szCs w:val="24"/>
        </w:rPr>
        <w:t xml:space="preserve">or </w:t>
      </w:r>
      <w:r w:rsidR="001372B4">
        <w:rPr>
          <w:rFonts w:ascii="Calibri" w:hAnsi="Calibri" w:cs="Calibri"/>
          <w:sz w:val="24"/>
          <w:szCs w:val="24"/>
        </w:rPr>
        <w:t>two</w:t>
      </w:r>
      <w:r w:rsidR="001834E5">
        <w:rPr>
          <w:rFonts w:ascii="Calibri" w:hAnsi="Calibri" w:cs="Calibri"/>
          <w:sz w:val="24"/>
          <w:szCs w:val="24"/>
        </w:rPr>
        <w:t xml:space="preserve"> bed property. </w:t>
      </w:r>
      <w:r w:rsidR="00FC468D">
        <w:rPr>
          <w:rFonts w:ascii="Calibri" w:hAnsi="Calibri" w:cs="Calibri"/>
          <w:sz w:val="24"/>
          <w:szCs w:val="24"/>
        </w:rPr>
        <w:t>Therefore</w:t>
      </w:r>
      <w:r w:rsidR="00620258">
        <w:rPr>
          <w:rFonts w:ascii="Calibri" w:hAnsi="Calibri" w:cs="Calibri"/>
          <w:sz w:val="24"/>
          <w:szCs w:val="24"/>
        </w:rPr>
        <w:t>, it is proposed that 8 (36%)</w:t>
      </w:r>
      <w:r w:rsidR="001F643E">
        <w:rPr>
          <w:rFonts w:ascii="Calibri" w:hAnsi="Calibri" w:cs="Calibri"/>
          <w:sz w:val="24"/>
          <w:szCs w:val="24"/>
        </w:rPr>
        <w:t xml:space="preserve"> </w:t>
      </w:r>
      <w:r w:rsidR="00620258">
        <w:rPr>
          <w:rFonts w:ascii="Calibri" w:hAnsi="Calibri" w:cs="Calibri"/>
          <w:sz w:val="24"/>
          <w:szCs w:val="24"/>
        </w:rPr>
        <w:t>properties will be allocated</w:t>
      </w:r>
      <w:r w:rsidR="009D3919">
        <w:rPr>
          <w:rFonts w:ascii="Calibri" w:hAnsi="Calibri" w:cs="Calibri"/>
          <w:sz w:val="24"/>
          <w:szCs w:val="24"/>
        </w:rPr>
        <w:t xml:space="preserve"> to applicants </w:t>
      </w:r>
      <w:r w:rsidR="001372B4">
        <w:rPr>
          <w:rFonts w:ascii="Calibri" w:hAnsi="Calibri" w:cs="Calibri"/>
          <w:sz w:val="24"/>
          <w:szCs w:val="24"/>
        </w:rPr>
        <w:t xml:space="preserve">have been awarded a priority banding due to homelessness. </w:t>
      </w:r>
    </w:p>
    <w:p w14:paraId="39CF4FFE" w14:textId="71A7F2DF" w:rsidR="10FD963A" w:rsidRDefault="10FD963A" w:rsidP="10FD963A">
      <w:pPr>
        <w:rPr>
          <w:rFonts w:ascii="Calibri" w:hAnsi="Calibri" w:cs="Calibri"/>
          <w:sz w:val="24"/>
          <w:szCs w:val="24"/>
        </w:rPr>
      </w:pPr>
    </w:p>
    <w:p w14:paraId="28F42ABA" w14:textId="1C5C2FBD" w:rsidR="574DF34F" w:rsidRDefault="574DF34F" w:rsidP="10FD963A">
      <w:pPr>
        <w:rPr>
          <w:rFonts w:ascii="Calibri" w:hAnsi="Calibri" w:cs="Calibri"/>
          <w:sz w:val="24"/>
          <w:szCs w:val="24"/>
        </w:rPr>
      </w:pPr>
      <w:r w:rsidRPr="10FD963A">
        <w:rPr>
          <w:rFonts w:ascii="Calibri" w:hAnsi="Calibri" w:cs="Calibri"/>
          <w:sz w:val="24"/>
          <w:szCs w:val="24"/>
        </w:rPr>
        <w:t>A full breakdown</w:t>
      </w:r>
      <w:r w:rsidR="2FA9A54E" w:rsidRPr="10FD963A">
        <w:rPr>
          <w:rFonts w:ascii="Calibri" w:hAnsi="Calibri" w:cs="Calibri"/>
          <w:sz w:val="24"/>
          <w:szCs w:val="24"/>
        </w:rPr>
        <w:t xml:space="preserve"> of the allocation of properties is as follows:</w:t>
      </w:r>
    </w:p>
    <w:p w14:paraId="1DB33566" w14:textId="7892853D" w:rsidR="300CF621" w:rsidRDefault="300CF621" w:rsidP="300CF621">
      <w:pPr>
        <w:jc w:val="both"/>
        <w:rPr>
          <w:rFonts w:ascii="Calibri" w:hAnsi="Calibri" w:cs="Calibri"/>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2835"/>
        <w:gridCol w:w="2693"/>
        <w:gridCol w:w="850"/>
        <w:gridCol w:w="851"/>
      </w:tblGrid>
      <w:tr w:rsidR="003A6BC2" w:rsidRPr="003A6BC2" w14:paraId="57774A35" w14:textId="77777777" w:rsidTr="300CF621">
        <w:trPr>
          <w:trHeight w:val="300"/>
        </w:trPr>
        <w:tc>
          <w:tcPr>
            <w:tcW w:w="2127" w:type="dxa"/>
            <w:vMerge w:val="restart"/>
            <w:tcMar>
              <w:top w:w="0" w:type="dxa"/>
              <w:left w:w="108" w:type="dxa"/>
              <w:bottom w:w="0" w:type="dxa"/>
              <w:right w:w="108" w:type="dxa"/>
            </w:tcMar>
          </w:tcPr>
          <w:p w14:paraId="50EBF3F4" w14:textId="77777777" w:rsidR="003A6BC2" w:rsidRPr="006E3502" w:rsidRDefault="003A6BC2" w:rsidP="003A6BC2">
            <w:pPr>
              <w:autoSpaceDE w:val="0"/>
              <w:autoSpaceDN w:val="0"/>
              <w:adjustRightInd w:val="0"/>
              <w:jc w:val="center"/>
              <w:rPr>
                <w:rFonts w:ascii="Calibri" w:hAnsi="Calibri" w:cs="Calibri"/>
                <w:b/>
                <w:bCs/>
                <w:sz w:val="24"/>
                <w:szCs w:val="24"/>
                <w:lang w:eastAsia="en-GB"/>
              </w:rPr>
            </w:pPr>
            <w:r w:rsidRPr="006E3502">
              <w:rPr>
                <w:rFonts w:ascii="Calibri" w:hAnsi="Calibri" w:cs="Calibri"/>
                <w:b/>
                <w:bCs/>
                <w:sz w:val="24"/>
                <w:szCs w:val="24"/>
                <w:lang w:eastAsia="en-GB"/>
              </w:rPr>
              <w:t>Banding</w:t>
            </w:r>
          </w:p>
        </w:tc>
        <w:tc>
          <w:tcPr>
            <w:tcW w:w="5528" w:type="dxa"/>
            <w:gridSpan w:val="2"/>
            <w:tcMar>
              <w:top w:w="0" w:type="dxa"/>
              <w:left w:w="108" w:type="dxa"/>
              <w:bottom w:w="0" w:type="dxa"/>
              <w:right w:w="108" w:type="dxa"/>
            </w:tcMar>
          </w:tcPr>
          <w:p w14:paraId="06FAB71A" w14:textId="77777777" w:rsidR="003A6BC2" w:rsidRPr="006E3502" w:rsidRDefault="003A6BC2" w:rsidP="003A6BC2">
            <w:pPr>
              <w:autoSpaceDE w:val="0"/>
              <w:autoSpaceDN w:val="0"/>
              <w:adjustRightInd w:val="0"/>
              <w:jc w:val="center"/>
              <w:rPr>
                <w:rFonts w:ascii="Calibri" w:hAnsi="Calibri" w:cs="Calibri"/>
                <w:sz w:val="24"/>
                <w:szCs w:val="24"/>
              </w:rPr>
            </w:pPr>
            <w:r w:rsidRPr="006E3502">
              <w:rPr>
                <w:rFonts w:ascii="Calibri" w:hAnsi="Calibri" w:cs="Calibri"/>
                <w:sz w:val="24"/>
                <w:szCs w:val="24"/>
              </w:rPr>
              <w:t>Property Type</w:t>
            </w:r>
          </w:p>
        </w:tc>
        <w:tc>
          <w:tcPr>
            <w:tcW w:w="850" w:type="dxa"/>
            <w:vMerge w:val="restart"/>
            <w:vAlign w:val="center"/>
          </w:tcPr>
          <w:p w14:paraId="5B4F23A8" w14:textId="77777777" w:rsidR="003A6BC2" w:rsidRPr="006E3502" w:rsidRDefault="003A6BC2" w:rsidP="003A6BC2">
            <w:pPr>
              <w:autoSpaceDE w:val="0"/>
              <w:autoSpaceDN w:val="0"/>
              <w:adjustRightInd w:val="0"/>
              <w:rPr>
                <w:rFonts w:ascii="Calibri" w:hAnsi="Calibri" w:cs="Calibri"/>
                <w:sz w:val="24"/>
                <w:szCs w:val="24"/>
              </w:rPr>
            </w:pPr>
            <w:r w:rsidRPr="006E3502">
              <w:rPr>
                <w:rFonts w:ascii="Calibri" w:hAnsi="Calibri" w:cs="Calibri"/>
                <w:sz w:val="24"/>
                <w:szCs w:val="24"/>
              </w:rPr>
              <w:t xml:space="preserve"> Total</w:t>
            </w:r>
          </w:p>
        </w:tc>
        <w:tc>
          <w:tcPr>
            <w:tcW w:w="851" w:type="dxa"/>
            <w:vMerge w:val="restart"/>
            <w:vAlign w:val="center"/>
          </w:tcPr>
          <w:p w14:paraId="0617BB40" w14:textId="77777777" w:rsidR="003A6BC2" w:rsidRPr="006E3502" w:rsidRDefault="003A6BC2" w:rsidP="003A6BC2">
            <w:pPr>
              <w:autoSpaceDE w:val="0"/>
              <w:autoSpaceDN w:val="0"/>
              <w:adjustRightInd w:val="0"/>
              <w:jc w:val="center"/>
              <w:rPr>
                <w:rFonts w:ascii="Calibri" w:hAnsi="Calibri" w:cs="Calibri"/>
                <w:sz w:val="24"/>
                <w:szCs w:val="24"/>
              </w:rPr>
            </w:pPr>
            <w:r w:rsidRPr="006E3502">
              <w:rPr>
                <w:rFonts w:ascii="Calibri" w:hAnsi="Calibri" w:cs="Calibri"/>
                <w:sz w:val="24"/>
                <w:szCs w:val="24"/>
              </w:rPr>
              <w:t>%</w:t>
            </w:r>
          </w:p>
        </w:tc>
      </w:tr>
      <w:tr w:rsidR="003A6BC2" w:rsidRPr="003A6BC2" w14:paraId="12FDD490" w14:textId="77777777" w:rsidTr="300CF621">
        <w:trPr>
          <w:trHeight w:val="300"/>
        </w:trPr>
        <w:tc>
          <w:tcPr>
            <w:tcW w:w="2127" w:type="dxa"/>
            <w:vMerge/>
            <w:tcMar>
              <w:top w:w="0" w:type="dxa"/>
              <w:left w:w="108" w:type="dxa"/>
              <w:bottom w:w="0" w:type="dxa"/>
              <w:right w:w="108" w:type="dxa"/>
            </w:tcMar>
          </w:tcPr>
          <w:p w14:paraId="1666C9CB" w14:textId="77777777" w:rsidR="003A6BC2" w:rsidRPr="0002646E" w:rsidRDefault="003A6BC2" w:rsidP="003A6BC2">
            <w:pPr>
              <w:autoSpaceDE w:val="0"/>
              <w:autoSpaceDN w:val="0"/>
              <w:adjustRightInd w:val="0"/>
              <w:rPr>
                <w:rFonts w:ascii="Calibri" w:hAnsi="Calibri" w:cs="Calibri"/>
                <w:sz w:val="24"/>
                <w:szCs w:val="24"/>
                <w:lang w:eastAsia="en-GB"/>
              </w:rPr>
            </w:pPr>
          </w:p>
        </w:tc>
        <w:tc>
          <w:tcPr>
            <w:tcW w:w="2835" w:type="dxa"/>
            <w:tcMar>
              <w:top w:w="0" w:type="dxa"/>
              <w:left w:w="108" w:type="dxa"/>
              <w:bottom w:w="0" w:type="dxa"/>
              <w:right w:w="108" w:type="dxa"/>
            </w:tcMar>
            <w:hideMark/>
          </w:tcPr>
          <w:p w14:paraId="005831DD" w14:textId="77777777" w:rsidR="003A6BC2" w:rsidRPr="0002646E" w:rsidRDefault="003A6BC2" w:rsidP="003A6BC2">
            <w:pPr>
              <w:autoSpaceDE w:val="0"/>
              <w:autoSpaceDN w:val="0"/>
              <w:adjustRightInd w:val="0"/>
              <w:jc w:val="center"/>
              <w:rPr>
                <w:rFonts w:ascii="Calibri" w:hAnsi="Calibri" w:cs="Calibri"/>
                <w:sz w:val="24"/>
                <w:szCs w:val="24"/>
              </w:rPr>
            </w:pPr>
            <w:r w:rsidRPr="0002646E">
              <w:rPr>
                <w:rFonts w:ascii="Calibri" w:hAnsi="Calibri" w:cs="Calibri"/>
                <w:sz w:val="24"/>
                <w:szCs w:val="24"/>
              </w:rPr>
              <w:t>1 bed</w:t>
            </w:r>
          </w:p>
        </w:tc>
        <w:tc>
          <w:tcPr>
            <w:tcW w:w="2693" w:type="dxa"/>
            <w:tcMar>
              <w:top w:w="0" w:type="dxa"/>
              <w:left w:w="108" w:type="dxa"/>
              <w:bottom w:w="0" w:type="dxa"/>
              <w:right w:w="108" w:type="dxa"/>
            </w:tcMar>
            <w:hideMark/>
          </w:tcPr>
          <w:p w14:paraId="527D98D7" w14:textId="77777777" w:rsidR="003A6BC2" w:rsidRPr="0002646E" w:rsidRDefault="003A6BC2" w:rsidP="003A6BC2">
            <w:pPr>
              <w:autoSpaceDE w:val="0"/>
              <w:autoSpaceDN w:val="0"/>
              <w:adjustRightInd w:val="0"/>
              <w:jc w:val="center"/>
              <w:rPr>
                <w:rFonts w:ascii="Calibri" w:hAnsi="Calibri" w:cs="Calibri"/>
                <w:sz w:val="24"/>
                <w:szCs w:val="24"/>
              </w:rPr>
            </w:pPr>
            <w:r w:rsidRPr="0002646E">
              <w:rPr>
                <w:rFonts w:ascii="Calibri" w:hAnsi="Calibri" w:cs="Calibri"/>
                <w:sz w:val="24"/>
                <w:szCs w:val="24"/>
              </w:rPr>
              <w:t>2 bed</w:t>
            </w:r>
          </w:p>
        </w:tc>
        <w:tc>
          <w:tcPr>
            <w:tcW w:w="850" w:type="dxa"/>
            <w:vMerge/>
          </w:tcPr>
          <w:p w14:paraId="375D5ABB" w14:textId="77777777" w:rsidR="003A6BC2" w:rsidRPr="0002646E" w:rsidRDefault="003A6BC2" w:rsidP="003A6BC2">
            <w:pPr>
              <w:autoSpaceDE w:val="0"/>
              <w:autoSpaceDN w:val="0"/>
              <w:adjustRightInd w:val="0"/>
              <w:rPr>
                <w:rFonts w:ascii="Calibri" w:hAnsi="Calibri" w:cs="Calibri"/>
                <w:sz w:val="24"/>
                <w:szCs w:val="24"/>
              </w:rPr>
            </w:pPr>
          </w:p>
        </w:tc>
        <w:tc>
          <w:tcPr>
            <w:tcW w:w="851" w:type="dxa"/>
            <w:vMerge/>
          </w:tcPr>
          <w:p w14:paraId="136E8C02" w14:textId="77777777" w:rsidR="003A6BC2" w:rsidRPr="0002646E" w:rsidRDefault="003A6BC2" w:rsidP="003A6BC2">
            <w:pPr>
              <w:autoSpaceDE w:val="0"/>
              <w:autoSpaceDN w:val="0"/>
              <w:adjustRightInd w:val="0"/>
              <w:jc w:val="center"/>
              <w:rPr>
                <w:rFonts w:ascii="Calibri" w:hAnsi="Calibri" w:cs="Calibri"/>
                <w:sz w:val="24"/>
                <w:szCs w:val="24"/>
              </w:rPr>
            </w:pPr>
          </w:p>
        </w:tc>
      </w:tr>
      <w:tr w:rsidR="003A6BC2" w:rsidRPr="003A6BC2" w14:paraId="368E91C0" w14:textId="77777777" w:rsidTr="300CF621">
        <w:trPr>
          <w:trHeight w:val="300"/>
        </w:trPr>
        <w:tc>
          <w:tcPr>
            <w:tcW w:w="2127" w:type="dxa"/>
            <w:shd w:val="clear" w:color="auto" w:fill="FFFFFF" w:themeFill="background1"/>
            <w:tcMar>
              <w:top w:w="0" w:type="dxa"/>
              <w:left w:w="108" w:type="dxa"/>
              <w:bottom w:w="0" w:type="dxa"/>
              <w:right w:w="108" w:type="dxa"/>
            </w:tcMar>
            <w:hideMark/>
          </w:tcPr>
          <w:p w14:paraId="2ED055C1" w14:textId="77777777" w:rsidR="003A6BC2" w:rsidRPr="006E3502" w:rsidRDefault="003A6BC2" w:rsidP="003A6BC2">
            <w:pPr>
              <w:autoSpaceDE w:val="0"/>
              <w:autoSpaceDN w:val="0"/>
              <w:adjustRightInd w:val="0"/>
              <w:jc w:val="center"/>
              <w:rPr>
                <w:rFonts w:ascii="Calibri" w:hAnsi="Calibri" w:cs="Calibri"/>
                <w:b/>
                <w:bCs/>
                <w:sz w:val="24"/>
                <w:szCs w:val="24"/>
              </w:rPr>
            </w:pPr>
            <w:r w:rsidRPr="006E3502">
              <w:rPr>
                <w:rFonts w:ascii="Calibri" w:hAnsi="Calibri" w:cs="Calibri"/>
                <w:b/>
                <w:bCs/>
                <w:sz w:val="24"/>
                <w:szCs w:val="24"/>
              </w:rPr>
              <w:t>Band A</w:t>
            </w:r>
          </w:p>
        </w:tc>
        <w:tc>
          <w:tcPr>
            <w:tcW w:w="2835" w:type="dxa"/>
            <w:shd w:val="clear" w:color="auto" w:fill="FFFFFF" w:themeFill="background1"/>
            <w:tcMar>
              <w:top w:w="0" w:type="dxa"/>
              <w:left w:w="108" w:type="dxa"/>
              <w:bottom w:w="0" w:type="dxa"/>
              <w:right w:w="108" w:type="dxa"/>
            </w:tcMar>
          </w:tcPr>
          <w:p w14:paraId="0976A4DC" w14:textId="6D96EBAD" w:rsidR="003A6BC2" w:rsidRPr="006E3502" w:rsidRDefault="003A6BC2" w:rsidP="003A6BC2">
            <w:pPr>
              <w:autoSpaceDE w:val="0"/>
              <w:autoSpaceDN w:val="0"/>
              <w:adjustRightInd w:val="0"/>
              <w:rPr>
                <w:rFonts w:ascii="Calibri" w:hAnsi="Calibri" w:cs="Calibri"/>
                <w:sz w:val="24"/>
                <w:szCs w:val="24"/>
              </w:rPr>
            </w:pPr>
            <w:r w:rsidRPr="006E3502">
              <w:rPr>
                <w:rFonts w:ascii="Calibri" w:hAnsi="Calibri" w:cs="Calibri"/>
                <w:sz w:val="24"/>
                <w:szCs w:val="24"/>
              </w:rPr>
              <w:t>4 (</w:t>
            </w:r>
            <w:r w:rsidR="00533CFF" w:rsidRPr="006E3502">
              <w:rPr>
                <w:rFonts w:ascii="Calibri" w:hAnsi="Calibri" w:cs="Calibri"/>
                <w:sz w:val="24"/>
                <w:szCs w:val="24"/>
              </w:rPr>
              <w:t>1</w:t>
            </w:r>
            <w:r w:rsidRPr="006E3502">
              <w:rPr>
                <w:rFonts w:ascii="Calibri" w:hAnsi="Calibri" w:cs="Calibri"/>
                <w:sz w:val="24"/>
                <w:szCs w:val="24"/>
              </w:rPr>
              <w:t xml:space="preserve"> x employed, 1 x under occupying, </w:t>
            </w:r>
            <w:r w:rsidR="00533CFF" w:rsidRPr="006E3502">
              <w:rPr>
                <w:rFonts w:ascii="Calibri" w:hAnsi="Calibri" w:cs="Calibri"/>
                <w:sz w:val="24"/>
                <w:szCs w:val="24"/>
              </w:rPr>
              <w:t>2</w:t>
            </w:r>
            <w:r w:rsidRPr="006E3502">
              <w:rPr>
                <w:rFonts w:ascii="Calibri" w:hAnsi="Calibri" w:cs="Calibri"/>
                <w:sz w:val="24"/>
                <w:szCs w:val="24"/>
              </w:rPr>
              <w:t xml:space="preserve"> x homeless)</w:t>
            </w:r>
          </w:p>
          <w:p w14:paraId="279F33EF" w14:textId="77777777" w:rsidR="003A6BC2" w:rsidRPr="006E3502" w:rsidRDefault="003A6BC2" w:rsidP="003A6BC2">
            <w:pPr>
              <w:autoSpaceDE w:val="0"/>
              <w:autoSpaceDN w:val="0"/>
              <w:adjustRightInd w:val="0"/>
              <w:rPr>
                <w:rFonts w:ascii="Calibri" w:hAnsi="Calibri" w:cs="Calibri"/>
                <w:sz w:val="24"/>
                <w:szCs w:val="24"/>
              </w:rPr>
            </w:pPr>
          </w:p>
        </w:tc>
        <w:tc>
          <w:tcPr>
            <w:tcW w:w="2693" w:type="dxa"/>
            <w:shd w:val="clear" w:color="auto" w:fill="FFFFFF" w:themeFill="background1"/>
            <w:tcMar>
              <w:top w:w="0" w:type="dxa"/>
              <w:left w:w="108" w:type="dxa"/>
              <w:bottom w:w="0" w:type="dxa"/>
              <w:right w:w="108" w:type="dxa"/>
            </w:tcMar>
          </w:tcPr>
          <w:p w14:paraId="21983184" w14:textId="1357E8C8" w:rsidR="003A6BC2" w:rsidRPr="006E3502" w:rsidRDefault="003A6BC2" w:rsidP="003A6BC2">
            <w:pPr>
              <w:autoSpaceDE w:val="0"/>
              <w:autoSpaceDN w:val="0"/>
              <w:adjustRightInd w:val="0"/>
              <w:rPr>
                <w:rFonts w:ascii="Calibri" w:hAnsi="Calibri" w:cs="Calibri"/>
                <w:sz w:val="24"/>
                <w:szCs w:val="24"/>
              </w:rPr>
            </w:pPr>
            <w:r w:rsidRPr="006E3502">
              <w:rPr>
                <w:rFonts w:ascii="Calibri" w:hAnsi="Calibri" w:cs="Calibri"/>
                <w:sz w:val="24"/>
                <w:szCs w:val="24"/>
              </w:rPr>
              <w:t>4 (</w:t>
            </w:r>
            <w:r w:rsidR="00533CFF" w:rsidRPr="006E3502">
              <w:rPr>
                <w:rFonts w:ascii="Calibri" w:hAnsi="Calibri" w:cs="Calibri"/>
                <w:sz w:val="24"/>
                <w:szCs w:val="24"/>
              </w:rPr>
              <w:t>1</w:t>
            </w:r>
            <w:r w:rsidRPr="006E3502">
              <w:rPr>
                <w:rFonts w:ascii="Calibri" w:hAnsi="Calibri" w:cs="Calibri"/>
                <w:sz w:val="24"/>
                <w:szCs w:val="24"/>
              </w:rPr>
              <w:t xml:space="preserve"> x employed, </w:t>
            </w:r>
            <w:r w:rsidR="00533CFF" w:rsidRPr="006E3502">
              <w:rPr>
                <w:rFonts w:ascii="Calibri" w:hAnsi="Calibri" w:cs="Calibri"/>
                <w:sz w:val="24"/>
                <w:szCs w:val="24"/>
              </w:rPr>
              <w:t>2</w:t>
            </w:r>
            <w:r w:rsidRPr="006E3502">
              <w:rPr>
                <w:rFonts w:ascii="Calibri" w:hAnsi="Calibri" w:cs="Calibri"/>
                <w:sz w:val="24"/>
                <w:szCs w:val="24"/>
              </w:rPr>
              <w:t xml:space="preserve"> x under occupying, 1 x homeless)</w:t>
            </w:r>
          </w:p>
          <w:p w14:paraId="66B058B0" w14:textId="77777777" w:rsidR="003A6BC2" w:rsidRPr="006E3502" w:rsidRDefault="003A6BC2" w:rsidP="003A6BC2">
            <w:pPr>
              <w:autoSpaceDE w:val="0"/>
              <w:autoSpaceDN w:val="0"/>
              <w:adjustRightInd w:val="0"/>
              <w:rPr>
                <w:rFonts w:ascii="Calibri" w:hAnsi="Calibri" w:cs="Calibri"/>
                <w:sz w:val="24"/>
                <w:szCs w:val="24"/>
              </w:rPr>
            </w:pPr>
          </w:p>
        </w:tc>
        <w:tc>
          <w:tcPr>
            <w:tcW w:w="850" w:type="dxa"/>
            <w:shd w:val="clear" w:color="auto" w:fill="FFFFFF" w:themeFill="background1"/>
          </w:tcPr>
          <w:p w14:paraId="16473992" w14:textId="77777777" w:rsidR="003A6BC2" w:rsidRPr="006E3502" w:rsidRDefault="003A6BC2" w:rsidP="003A6BC2">
            <w:pPr>
              <w:autoSpaceDE w:val="0"/>
              <w:autoSpaceDN w:val="0"/>
              <w:adjustRightInd w:val="0"/>
              <w:jc w:val="center"/>
              <w:rPr>
                <w:rFonts w:ascii="Calibri" w:hAnsi="Calibri" w:cs="Calibri"/>
                <w:b/>
                <w:bCs/>
                <w:sz w:val="24"/>
                <w:szCs w:val="24"/>
              </w:rPr>
            </w:pPr>
            <w:r w:rsidRPr="006E3502">
              <w:rPr>
                <w:rFonts w:ascii="Calibri" w:hAnsi="Calibri" w:cs="Calibri"/>
                <w:b/>
                <w:bCs/>
                <w:sz w:val="24"/>
                <w:szCs w:val="24"/>
              </w:rPr>
              <w:t>8</w:t>
            </w:r>
          </w:p>
        </w:tc>
        <w:tc>
          <w:tcPr>
            <w:tcW w:w="851" w:type="dxa"/>
            <w:shd w:val="clear" w:color="auto" w:fill="FFFFFF" w:themeFill="background1"/>
          </w:tcPr>
          <w:p w14:paraId="45786384" w14:textId="77777777" w:rsidR="003A6BC2" w:rsidRPr="006E3502" w:rsidRDefault="003A6BC2" w:rsidP="003A6BC2">
            <w:pPr>
              <w:autoSpaceDE w:val="0"/>
              <w:autoSpaceDN w:val="0"/>
              <w:adjustRightInd w:val="0"/>
              <w:jc w:val="center"/>
              <w:rPr>
                <w:rFonts w:ascii="Calibri" w:hAnsi="Calibri" w:cs="Calibri"/>
                <w:sz w:val="24"/>
                <w:szCs w:val="24"/>
              </w:rPr>
            </w:pPr>
            <w:r w:rsidRPr="006E3502">
              <w:rPr>
                <w:rFonts w:ascii="Calibri" w:hAnsi="Calibri" w:cs="Calibri"/>
                <w:sz w:val="24"/>
                <w:szCs w:val="24"/>
              </w:rPr>
              <w:t>40</w:t>
            </w:r>
          </w:p>
        </w:tc>
      </w:tr>
      <w:tr w:rsidR="003A6BC2" w:rsidRPr="003A6BC2" w14:paraId="5D5C71D5" w14:textId="77777777" w:rsidTr="300CF621">
        <w:trPr>
          <w:trHeight w:val="300"/>
        </w:trPr>
        <w:tc>
          <w:tcPr>
            <w:tcW w:w="2127" w:type="dxa"/>
            <w:shd w:val="clear" w:color="auto" w:fill="FFFFFF" w:themeFill="background1"/>
            <w:tcMar>
              <w:top w:w="0" w:type="dxa"/>
              <w:left w:w="108" w:type="dxa"/>
              <w:bottom w:w="0" w:type="dxa"/>
              <w:right w:w="108" w:type="dxa"/>
            </w:tcMar>
            <w:hideMark/>
          </w:tcPr>
          <w:p w14:paraId="167A4194" w14:textId="77777777" w:rsidR="003A6BC2" w:rsidRPr="006E3502" w:rsidRDefault="003A6BC2" w:rsidP="003A6BC2">
            <w:pPr>
              <w:autoSpaceDE w:val="0"/>
              <w:autoSpaceDN w:val="0"/>
              <w:adjustRightInd w:val="0"/>
              <w:jc w:val="center"/>
              <w:rPr>
                <w:rFonts w:ascii="Calibri" w:hAnsi="Calibri" w:cs="Calibri"/>
                <w:b/>
                <w:bCs/>
                <w:sz w:val="24"/>
                <w:szCs w:val="24"/>
              </w:rPr>
            </w:pPr>
            <w:r w:rsidRPr="006E3502">
              <w:rPr>
                <w:rFonts w:ascii="Calibri" w:hAnsi="Calibri" w:cs="Calibri"/>
                <w:b/>
                <w:bCs/>
                <w:sz w:val="24"/>
                <w:szCs w:val="24"/>
              </w:rPr>
              <w:t>Band B</w:t>
            </w:r>
          </w:p>
        </w:tc>
        <w:tc>
          <w:tcPr>
            <w:tcW w:w="2835" w:type="dxa"/>
            <w:shd w:val="clear" w:color="auto" w:fill="FFFFFF" w:themeFill="background1"/>
            <w:tcMar>
              <w:top w:w="0" w:type="dxa"/>
              <w:left w:w="108" w:type="dxa"/>
              <w:bottom w:w="0" w:type="dxa"/>
              <w:right w:w="108" w:type="dxa"/>
            </w:tcMar>
          </w:tcPr>
          <w:p w14:paraId="6B328189" w14:textId="2AC8D48E" w:rsidR="003A6BC2" w:rsidRPr="006E3502" w:rsidRDefault="003A6BC2" w:rsidP="003A6BC2">
            <w:pPr>
              <w:autoSpaceDE w:val="0"/>
              <w:autoSpaceDN w:val="0"/>
              <w:adjustRightInd w:val="0"/>
              <w:rPr>
                <w:rFonts w:ascii="Calibri" w:hAnsi="Calibri" w:cs="Calibri"/>
                <w:sz w:val="24"/>
                <w:szCs w:val="24"/>
              </w:rPr>
            </w:pPr>
            <w:r w:rsidRPr="006E3502">
              <w:rPr>
                <w:rFonts w:ascii="Calibri" w:hAnsi="Calibri" w:cs="Calibri"/>
                <w:sz w:val="24"/>
                <w:szCs w:val="24"/>
              </w:rPr>
              <w:t>6 (</w:t>
            </w:r>
            <w:r w:rsidR="0034350A" w:rsidRPr="006E3502">
              <w:rPr>
                <w:rFonts w:ascii="Calibri" w:hAnsi="Calibri" w:cs="Calibri"/>
                <w:sz w:val="24"/>
                <w:szCs w:val="24"/>
              </w:rPr>
              <w:t>2</w:t>
            </w:r>
            <w:r w:rsidRPr="006E3502">
              <w:rPr>
                <w:rFonts w:ascii="Calibri" w:hAnsi="Calibri" w:cs="Calibri"/>
                <w:sz w:val="24"/>
                <w:szCs w:val="24"/>
              </w:rPr>
              <w:t xml:space="preserve"> x employment, </w:t>
            </w:r>
            <w:r w:rsidR="0034350A" w:rsidRPr="006E3502">
              <w:rPr>
                <w:rFonts w:ascii="Calibri" w:hAnsi="Calibri" w:cs="Calibri"/>
                <w:sz w:val="24"/>
                <w:szCs w:val="24"/>
              </w:rPr>
              <w:t>2</w:t>
            </w:r>
            <w:r w:rsidRPr="006E3502">
              <w:rPr>
                <w:rFonts w:ascii="Calibri" w:hAnsi="Calibri" w:cs="Calibri"/>
                <w:sz w:val="24"/>
                <w:szCs w:val="24"/>
              </w:rPr>
              <w:t xml:space="preserve"> x under occupying, </w:t>
            </w:r>
            <w:r w:rsidR="00F108CE">
              <w:rPr>
                <w:rFonts w:ascii="Calibri" w:hAnsi="Calibri" w:cs="Calibri"/>
                <w:sz w:val="24"/>
                <w:szCs w:val="24"/>
              </w:rPr>
              <w:t>2</w:t>
            </w:r>
            <w:r w:rsidRPr="006E3502">
              <w:rPr>
                <w:rFonts w:ascii="Calibri" w:hAnsi="Calibri" w:cs="Calibri"/>
                <w:sz w:val="24"/>
                <w:szCs w:val="24"/>
              </w:rPr>
              <w:t xml:space="preserve"> x homeless)</w:t>
            </w:r>
          </w:p>
          <w:p w14:paraId="0BA05C82" w14:textId="77777777" w:rsidR="003A6BC2" w:rsidRPr="006E3502" w:rsidRDefault="003A6BC2" w:rsidP="003A6BC2">
            <w:pPr>
              <w:autoSpaceDE w:val="0"/>
              <w:autoSpaceDN w:val="0"/>
              <w:adjustRightInd w:val="0"/>
              <w:rPr>
                <w:rFonts w:ascii="Calibri" w:hAnsi="Calibri" w:cs="Calibri"/>
                <w:sz w:val="24"/>
                <w:szCs w:val="24"/>
              </w:rPr>
            </w:pPr>
          </w:p>
        </w:tc>
        <w:tc>
          <w:tcPr>
            <w:tcW w:w="2693" w:type="dxa"/>
            <w:shd w:val="clear" w:color="auto" w:fill="FFFFFF" w:themeFill="background1"/>
            <w:tcMar>
              <w:top w:w="0" w:type="dxa"/>
              <w:left w:w="108" w:type="dxa"/>
              <w:bottom w:w="0" w:type="dxa"/>
              <w:right w:w="108" w:type="dxa"/>
            </w:tcMar>
          </w:tcPr>
          <w:p w14:paraId="2209A4E5" w14:textId="5ABA5016" w:rsidR="003A6BC2" w:rsidRPr="006E3502" w:rsidRDefault="003A6BC2" w:rsidP="003A6BC2">
            <w:pPr>
              <w:autoSpaceDE w:val="0"/>
              <w:autoSpaceDN w:val="0"/>
              <w:adjustRightInd w:val="0"/>
              <w:rPr>
                <w:rFonts w:ascii="Calibri" w:hAnsi="Calibri" w:cs="Calibri"/>
                <w:sz w:val="24"/>
                <w:szCs w:val="24"/>
              </w:rPr>
            </w:pPr>
            <w:r w:rsidRPr="006E3502">
              <w:rPr>
                <w:rFonts w:ascii="Calibri" w:hAnsi="Calibri" w:cs="Calibri"/>
                <w:sz w:val="24"/>
                <w:szCs w:val="24"/>
              </w:rPr>
              <w:t>8 (</w:t>
            </w:r>
            <w:r w:rsidR="0034350A" w:rsidRPr="006E3502">
              <w:rPr>
                <w:rFonts w:ascii="Calibri" w:hAnsi="Calibri" w:cs="Calibri"/>
                <w:sz w:val="24"/>
                <w:szCs w:val="24"/>
              </w:rPr>
              <w:t>3</w:t>
            </w:r>
            <w:r w:rsidRPr="006E3502">
              <w:rPr>
                <w:rFonts w:ascii="Calibri" w:hAnsi="Calibri" w:cs="Calibri"/>
                <w:sz w:val="24"/>
                <w:szCs w:val="24"/>
              </w:rPr>
              <w:t xml:space="preserve"> x employment, 2 x under </w:t>
            </w:r>
            <w:r w:rsidRPr="00AF58B2">
              <w:rPr>
                <w:rFonts w:ascii="Calibri" w:hAnsi="Calibri" w:cs="Calibri"/>
                <w:sz w:val="24"/>
                <w:szCs w:val="24"/>
              </w:rPr>
              <w:t xml:space="preserve">occupying, </w:t>
            </w:r>
            <w:r w:rsidR="00AF58B2">
              <w:rPr>
                <w:rFonts w:ascii="Calibri" w:hAnsi="Calibri" w:cs="Calibri"/>
                <w:sz w:val="24"/>
                <w:szCs w:val="24"/>
              </w:rPr>
              <w:t>3</w:t>
            </w:r>
            <w:r w:rsidRPr="00AF58B2">
              <w:rPr>
                <w:rFonts w:ascii="Calibri" w:hAnsi="Calibri" w:cs="Calibri"/>
                <w:sz w:val="24"/>
                <w:szCs w:val="24"/>
              </w:rPr>
              <w:t xml:space="preserve"> x </w:t>
            </w:r>
            <w:r w:rsidRPr="006E3502">
              <w:rPr>
                <w:rFonts w:ascii="Calibri" w:hAnsi="Calibri" w:cs="Calibri"/>
                <w:sz w:val="24"/>
                <w:szCs w:val="24"/>
              </w:rPr>
              <w:t>homeless)</w:t>
            </w:r>
          </w:p>
          <w:p w14:paraId="6707AB79" w14:textId="77777777" w:rsidR="003A6BC2" w:rsidRPr="006E3502" w:rsidRDefault="003A6BC2" w:rsidP="003A6BC2">
            <w:pPr>
              <w:autoSpaceDE w:val="0"/>
              <w:autoSpaceDN w:val="0"/>
              <w:adjustRightInd w:val="0"/>
              <w:rPr>
                <w:rFonts w:ascii="Calibri" w:hAnsi="Calibri" w:cs="Calibri"/>
                <w:sz w:val="24"/>
                <w:szCs w:val="24"/>
              </w:rPr>
            </w:pPr>
          </w:p>
        </w:tc>
        <w:tc>
          <w:tcPr>
            <w:tcW w:w="850" w:type="dxa"/>
            <w:shd w:val="clear" w:color="auto" w:fill="FFFFFF" w:themeFill="background1"/>
          </w:tcPr>
          <w:p w14:paraId="2C4A2955" w14:textId="77777777" w:rsidR="003A6BC2" w:rsidRPr="006E3502" w:rsidRDefault="003A6BC2" w:rsidP="003A6BC2">
            <w:pPr>
              <w:autoSpaceDE w:val="0"/>
              <w:autoSpaceDN w:val="0"/>
              <w:adjustRightInd w:val="0"/>
              <w:jc w:val="center"/>
              <w:rPr>
                <w:rFonts w:ascii="Calibri" w:hAnsi="Calibri" w:cs="Calibri"/>
                <w:b/>
                <w:bCs/>
                <w:sz w:val="24"/>
                <w:szCs w:val="24"/>
              </w:rPr>
            </w:pPr>
            <w:r w:rsidRPr="006E3502">
              <w:rPr>
                <w:rFonts w:ascii="Calibri" w:hAnsi="Calibri" w:cs="Calibri"/>
                <w:b/>
                <w:bCs/>
                <w:sz w:val="24"/>
                <w:szCs w:val="24"/>
              </w:rPr>
              <w:t>14</w:t>
            </w:r>
          </w:p>
        </w:tc>
        <w:tc>
          <w:tcPr>
            <w:tcW w:w="851" w:type="dxa"/>
            <w:shd w:val="clear" w:color="auto" w:fill="FFFFFF" w:themeFill="background1"/>
          </w:tcPr>
          <w:p w14:paraId="34207CB1" w14:textId="77777777" w:rsidR="003A6BC2" w:rsidRPr="006E3502" w:rsidRDefault="003A6BC2" w:rsidP="003A6BC2">
            <w:pPr>
              <w:autoSpaceDE w:val="0"/>
              <w:autoSpaceDN w:val="0"/>
              <w:adjustRightInd w:val="0"/>
              <w:jc w:val="center"/>
              <w:rPr>
                <w:rFonts w:ascii="Calibri" w:hAnsi="Calibri" w:cs="Calibri"/>
                <w:sz w:val="24"/>
                <w:szCs w:val="24"/>
              </w:rPr>
            </w:pPr>
            <w:r w:rsidRPr="006E3502">
              <w:rPr>
                <w:rFonts w:ascii="Calibri" w:hAnsi="Calibri" w:cs="Calibri"/>
                <w:sz w:val="24"/>
                <w:szCs w:val="24"/>
              </w:rPr>
              <w:t>60</w:t>
            </w:r>
          </w:p>
        </w:tc>
      </w:tr>
      <w:tr w:rsidR="003A6BC2" w:rsidRPr="003A6BC2" w14:paraId="26913E42" w14:textId="77777777" w:rsidTr="300CF621">
        <w:trPr>
          <w:trHeight w:val="300"/>
        </w:trPr>
        <w:tc>
          <w:tcPr>
            <w:tcW w:w="2127" w:type="dxa"/>
            <w:shd w:val="clear" w:color="auto" w:fill="FFFFFF" w:themeFill="background1"/>
            <w:tcMar>
              <w:top w:w="0" w:type="dxa"/>
              <w:left w:w="108" w:type="dxa"/>
              <w:bottom w:w="0" w:type="dxa"/>
              <w:right w:w="108" w:type="dxa"/>
            </w:tcMar>
          </w:tcPr>
          <w:p w14:paraId="3E87E8EC" w14:textId="77777777" w:rsidR="003A6BC2" w:rsidRPr="0077477E" w:rsidRDefault="003A6BC2" w:rsidP="003A6BC2">
            <w:pPr>
              <w:autoSpaceDE w:val="0"/>
              <w:autoSpaceDN w:val="0"/>
              <w:adjustRightInd w:val="0"/>
              <w:jc w:val="center"/>
              <w:rPr>
                <w:rFonts w:ascii="Calibri" w:hAnsi="Calibri" w:cs="Calibri"/>
                <w:b/>
                <w:bCs/>
                <w:sz w:val="24"/>
                <w:szCs w:val="24"/>
              </w:rPr>
            </w:pPr>
            <w:r w:rsidRPr="0077477E">
              <w:rPr>
                <w:rFonts w:ascii="Calibri" w:hAnsi="Calibri" w:cs="Calibri"/>
                <w:b/>
                <w:bCs/>
                <w:sz w:val="24"/>
                <w:szCs w:val="24"/>
              </w:rPr>
              <w:lastRenderedPageBreak/>
              <w:t>Total</w:t>
            </w:r>
          </w:p>
        </w:tc>
        <w:tc>
          <w:tcPr>
            <w:tcW w:w="2835" w:type="dxa"/>
            <w:shd w:val="clear" w:color="auto" w:fill="FFFFFF" w:themeFill="background1"/>
            <w:tcMar>
              <w:top w:w="0" w:type="dxa"/>
              <w:left w:w="108" w:type="dxa"/>
              <w:bottom w:w="0" w:type="dxa"/>
              <w:right w:w="108" w:type="dxa"/>
            </w:tcMar>
          </w:tcPr>
          <w:p w14:paraId="7EFF78D4" w14:textId="0F3DFF4E" w:rsidR="003A6BC2" w:rsidRPr="0077477E" w:rsidRDefault="003A6BC2" w:rsidP="003A6BC2">
            <w:pPr>
              <w:autoSpaceDE w:val="0"/>
              <w:autoSpaceDN w:val="0"/>
              <w:adjustRightInd w:val="0"/>
              <w:rPr>
                <w:rFonts w:ascii="Calibri" w:hAnsi="Calibri" w:cs="Calibri"/>
                <w:sz w:val="24"/>
                <w:szCs w:val="24"/>
              </w:rPr>
            </w:pPr>
            <w:r w:rsidRPr="0077477E">
              <w:rPr>
                <w:rFonts w:ascii="Calibri" w:hAnsi="Calibri" w:cs="Calibri"/>
                <w:b/>
                <w:bCs/>
                <w:sz w:val="24"/>
                <w:szCs w:val="24"/>
              </w:rPr>
              <w:t>10</w:t>
            </w:r>
            <w:r w:rsidRPr="0077477E">
              <w:rPr>
                <w:rFonts w:ascii="Calibri" w:hAnsi="Calibri" w:cs="Calibri"/>
                <w:sz w:val="24"/>
                <w:szCs w:val="24"/>
              </w:rPr>
              <w:t xml:space="preserve"> (</w:t>
            </w:r>
            <w:r w:rsidR="005528CB" w:rsidRPr="0077477E">
              <w:rPr>
                <w:rFonts w:ascii="Calibri" w:hAnsi="Calibri" w:cs="Calibri"/>
                <w:sz w:val="24"/>
                <w:szCs w:val="24"/>
              </w:rPr>
              <w:t>3</w:t>
            </w:r>
            <w:r w:rsidRPr="0077477E">
              <w:rPr>
                <w:rFonts w:ascii="Calibri" w:hAnsi="Calibri" w:cs="Calibri"/>
                <w:sz w:val="24"/>
                <w:szCs w:val="24"/>
              </w:rPr>
              <w:t xml:space="preserve"> employment, </w:t>
            </w:r>
            <w:r w:rsidR="005528CB" w:rsidRPr="0077477E">
              <w:rPr>
                <w:rFonts w:ascii="Calibri" w:hAnsi="Calibri" w:cs="Calibri"/>
                <w:sz w:val="24"/>
                <w:szCs w:val="24"/>
              </w:rPr>
              <w:t>3</w:t>
            </w:r>
            <w:r w:rsidRPr="0077477E">
              <w:rPr>
                <w:rFonts w:ascii="Calibri" w:hAnsi="Calibri" w:cs="Calibri"/>
                <w:sz w:val="24"/>
                <w:szCs w:val="24"/>
              </w:rPr>
              <w:t xml:space="preserve"> x </w:t>
            </w:r>
            <w:r w:rsidR="005528CB" w:rsidRPr="0077477E">
              <w:rPr>
                <w:rFonts w:ascii="Calibri" w:hAnsi="Calibri" w:cs="Calibri"/>
                <w:sz w:val="24"/>
                <w:szCs w:val="24"/>
              </w:rPr>
              <w:t>under-occupying</w:t>
            </w:r>
            <w:r w:rsidRPr="0077477E">
              <w:rPr>
                <w:rFonts w:ascii="Calibri" w:hAnsi="Calibri" w:cs="Calibri"/>
                <w:sz w:val="24"/>
                <w:szCs w:val="24"/>
              </w:rPr>
              <w:t xml:space="preserve">, </w:t>
            </w:r>
            <w:r w:rsidR="0022350E">
              <w:rPr>
                <w:rFonts w:ascii="Calibri" w:hAnsi="Calibri" w:cs="Calibri"/>
                <w:sz w:val="24"/>
                <w:szCs w:val="24"/>
              </w:rPr>
              <w:t>4</w:t>
            </w:r>
            <w:r w:rsidRPr="0077477E">
              <w:rPr>
                <w:rFonts w:ascii="Calibri" w:hAnsi="Calibri" w:cs="Calibri"/>
                <w:sz w:val="24"/>
                <w:szCs w:val="24"/>
              </w:rPr>
              <w:t xml:space="preserve"> x homeless)</w:t>
            </w:r>
          </w:p>
        </w:tc>
        <w:tc>
          <w:tcPr>
            <w:tcW w:w="2693" w:type="dxa"/>
            <w:shd w:val="clear" w:color="auto" w:fill="FFFFFF" w:themeFill="background1"/>
            <w:tcMar>
              <w:top w:w="0" w:type="dxa"/>
              <w:left w:w="108" w:type="dxa"/>
              <w:bottom w:w="0" w:type="dxa"/>
              <w:right w:w="108" w:type="dxa"/>
            </w:tcMar>
          </w:tcPr>
          <w:p w14:paraId="29CB47B7" w14:textId="2051BB47" w:rsidR="003A6BC2" w:rsidRPr="0077477E" w:rsidRDefault="003A6BC2" w:rsidP="003A6BC2">
            <w:pPr>
              <w:autoSpaceDE w:val="0"/>
              <w:autoSpaceDN w:val="0"/>
              <w:adjustRightInd w:val="0"/>
              <w:rPr>
                <w:rFonts w:ascii="Calibri" w:hAnsi="Calibri" w:cs="Calibri"/>
                <w:sz w:val="24"/>
                <w:szCs w:val="24"/>
              </w:rPr>
            </w:pPr>
            <w:r w:rsidRPr="0077477E">
              <w:rPr>
                <w:rFonts w:ascii="Calibri" w:hAnsi="Calibri" w:cs="Calibri"/>
                <w:b/>
                <w:bCs/>
                <w:sz w:val="24"/>
                <w:szCs w:val="24"/>
              </w:rPr>
              <w:t>12</w:t>
            </w:r>
            <w:r w:rsidRPr="0077477E">
              <w:rPr>
                <w:rFonts w:ascii="Calibri" w:hAnsi="Calibri" w:cs="Calibri"/>
                <w:sz w:val="24"/>
                <w:szCs w:val="24"/>
              </w:rPr>
              <w:t xml:space="preserve"> (</w:t>
            </w:r>
            <w:r w:rsidR="00794A07" w:rsidRPr="0077477E">
              <w:rPr>
                <w:rFonts w:ascii="Calibri" w:hAnsi="Calibri" w:cs="Calibri"/>
                <w:sz w:val="24"/>
                <w:szCs w:val="24"/>
              </w:rPr>
              <w:t>4</w:t>
            </w:r>
            <w:r w:rsidRPr="0077477E">
              <w:rPr>
                <w:rFonts w:ascii="Calibri" w:hAnsi="Calibri" w:cs="Calibri"/>
                <w:sz w:val="24"/>
                <w:szCs w:val="24"/>
              </w:rPr>
              <w:t xml:space="preserve"> x employment, </w:t>
            </w:r>
          </w:p>
          <w:p w14:paraId="768B0421" w14:textId="555611DF" w:rsidR="003A6BC2" w:rsidRPr="0077477E" w:rsidRDefault="0071357A" w:rsidP="003A6BC2">
            <w:pPr>
              <w:autoSpaceDE w:val="0"/>
              <w:autoSpaceDN w:val="0"/>
              <w:adjustRightInd w:val="0"/>
              <w:rPr>
                <w:rFonts w:ascii="Calibri" w:hAnsi="Calibri" w:cs="Calibri"/>
                <w:sz w:val="24"/>
                <w:szCs w:val="24"/>
              </w:rPr>
            </w:pPr>
            <w:r w:rsidRPr="0077477E">
              <w:rPr>
                <w:rFonts w:ascii="Calibri" w:hAnsi="Calibri" w:cs="Calibri"/>
                <w:sz w:val="24"/>
                <w:szCs w:val="24"/>
              </w:rPr>
              <w:t>4</w:t>
            </w:r>
            <w:r w:rsidR="003A6BC2" w:rsidRPr="0077477E">
              <w:rPr>
                <w:rFonts w:ascii="Calibri" w:hAnsi="Calibri" w:cs="Calibri"/>
                <w:sz w:val="24"/>
                <w:szCs w:val="24"/>
              </w:rPr>
              <w:t xml:space="preserve"> x </w:t>
            </w:r>
            <w:r w:rsidR="00794A07" w:rsidRPr="0077477E">
              <w:rPr>
                <w:rFonts w:ascii="Calibri" w:hAnsi="Calibri" w:cs="Calibri"/>
                <w:sz w:val="24"/>
                <w:szCs w:val="24"/>
              </w:rPr>
              <w:t>under-occupying</w:t>
            </w:r>
            <w:r w:rsidR="003A6BC2" w:rsidRPr="0077477E">
              <w:rPr>
                <w:rFonts w:ascii="Calibri" w:hAnsi="Calibri" w:cs="Calibri"/>
                <w:sz w:val="24"/>
                <w:szCs w:val="24"/>
              </w:rPr>
              <w:t xml:space="preserve">, </w:t>
            </w:r>
            <w:r w:rsidR="00AF58B2">
              <w:rPr>
                <w:rFonts w:ascii="Calibri" w:hAnsi="Calibri" w:cs="Calibri"/>
                <w:sz w:val="24"/>
                <w:szCs w:val="24"/>
              </w:rPr>
              <w:t>4</w:t>
            </w:r>
            <w:r w:rsidR="003A6BC2" w:rsidRPr="0077477E">
              <w:rPr>
                <w:rFonts w:ascii="Calibri" w:hAnsi="Calibri" w:cs="Calibri"/>
                <w:sz w:val="24"/>
                <w:szCs w:val="24"/>
              </w:rPr>
              <w:t xml:space="preserve"> x homeless)</w:t>
            </w:r>
          </w:p>
        </w:tc>
        <w:tc>
          <w:tcPr>
            <w:tcW w:w="850" w:type="dxa"/>
            <w:shd w:val="clear" w:color="auto" w:fill="FFFFFF" w:themeFill="background1"/>
          </w:tcPr>
          <w:p w14:paraId="4E2A5F39" w14:textId="77777777" w:rsidR="003A6BC2" w:rsidRPr="0077477E" w:rsidRDefault="003A6BC2" w:rsidP="003A6BC2">
            <w:pPr>
              <w:autoSpaceDE w:val="0"/>
              <w:autoSpaceDN w:val="0"/>
              <w:adjustRightInd w:val="0"/>
              <w:jc w:val="center"/>
              <w:rPr>
                <w:rFonts w:ascii="Calibri" w:hAnsi="Calibri" w:cs="Calibri"/>
                <w:b/>
                <w:bCs/>
                <w:sz w:val="24"/>
                <w:szCs w:val="24"/>
              </w:rPr>
            </w:pPr>
            <w:r w:rsidRPr="0077477E">
              <w:rPr>
                <w:rFonts w:ascii="Calibri" w:hAnsi="Calibri" w:cs="Calibri"/>
                <w:b/>
                <w:bCs/>
                <w:sz w:val="24"/>
                <w:szCs w:val="24"/>
              </w:rPr>
              <w:t>22</w:t>
            </w:r>
          </w:p>
        </w:tc>
        <w:tc>
          <w:tcPr>
            <w:tcW w:w="851" w:type="dxa"/>
            <w:shd w:val="clear" w:color="auto" w:fill="FFFFFF" w:themeFill="background1"/>
          </w:tcPr>
          <w:p w14:paraId="4A93E3A6" w14:textId="77777777" w:rsidR="003A6BC2" w:rsidRPr="0077477E" w:rsidRDefault="003A6BC2" w:rsidP="003A6BC2">
            <w:pPr>
              <w:autoSpaceDE w:val="0"/>
              <w:autoSpaceDN w:val="0"/>
              <w:adjustRightInd w:val="0"/>
              <w:jc w:val="center"/>
              <w:rPr>
                <w:rFonts w:ascii="Calibri" w:hAnsi="Calibri" w:cs="Calibri"/>
                <w:sz w:val="24"/>
                <w:szCs w:val="24"/>
              </w:rPr>
            </w:pPr>
            <w:r w:rsidRPr="0077477E">
              <w:rPr>
                <w:rFonts w:ascii="Calibri" w:hAnsi="Calibri" w:cs="Calibri"/>
                <w:sz w:val="24"/>
                <w:szCs w:val="24"/>
              </w:rPr>
              <w:t>100</w:t>
            </w:r>
          </w:p>
        </w:tc>
      </w:tr>
    </w:tbl>
    <w:p w14:paraId="71AD008E" w14:textId="77777777" w:rsidR="008E28D4" w:rsidRPr="0006644B" w:rsidRDefault="008E28D4" w:rsidP="00A275CC">
      <w:pPr>
        <w:pStyle w:val="ListParagraph"/>
        <w:ind w:left="0"/>
        <w:contextualSpacing/>
        <w:jc w:val="both"/>
      </w:pPr>
    </w:p>
    <w:p w14:paraId="14FB2B78" w14:textId="77777777" w:rsidR="008E28D4" w:rsidRPr="0006644B" w:rsidRDefault="008E28D4" w:rsidP="008E28D4">
      <w:pPr>
        <w:rPr>
          <w:rFonts w:ascii="Calibri" w:hAnsi="Calibri" w:cs="Calibri"/>
          <w:b/>
          <w:sz w:val="24"/>
          <w:szCs w:val="24"/>
        </w:rPr>
      </w:pPr>
    </w:p>
    <w:p w14:paraId="02BF5305" w14:textId="2D2155A3" w:rsidR="008E28D4" w:rsidRPr="00A275CC" w:rsidRDefault="008E28D4" w:rsidP="00A275CC">
      <w:pPr>
        <w:pStyle w:val="ListParagraph"/>
        <w:numPr>
          <w:ilvl w:val="0"/>
          <w:numId w:val="9"/>
        </w:numPr>
        <w:rPr>
          <w:rFonts w:ascii="Calibri" w:hAnsi="Calibri" w:cs="Calibri"/>
          <w:b/>
        </w:rPr>
      </w:pPr>
      <w:r w:rsidRPr="00A275CC">
        <w:rPr>
          <w:rFonts w:ascii="Calibri" w:hAnsi="Calibri" w:cs="Calibri"/>
          <w:b/>
        </w:rPr>
        <w:t xml:space="preserve">Process </w:t>
      </w:r>
    </w:p>
    <w:p w14:paraId="00E091AE" w14:textId="77777777" w:rsidR="008E28D4" w:rsidRPr="0006644B" w:rsidRDefault="008E28D4" w:rsidP="008E28D4">
      <w:pPr>
        <w:rPr>
          <w:rFonts w:ascii="Calibri" w:hAnsi="Calibri" w:cs="Calibri"/>
          <w:sz w:val="24"/>
          <w:szCs w:val="24"/>
        </w:rPr>
      </w:pPr>
    </w:p>
    <w:p w14:paraId="2EA2E8E3" w14:textId="77777777" w:rsidR="00EA5240" w:rsidRDefault="00EA5240" w:rsidP="00EA5240">
      <w:pPr>
        <w:jc w:val="both"/>
        <w:rPr>
          <w:rFonts w:ascii="Calibri" w:hAnsi="Calibri" w:cs="Calibri"/>
          <w:bCs/>
          <w:sz w:val="24"/>
          <w:szCs w:val="24"/>
        </w:rPr>
      </w:pPr>
      <w:r>
        <w:rPr>
          <w:rFonts w:ascii="Calibri" w:hAnsi="Calibri" w:cs="Calibri"/>
          <w:bCs/>
          <w:sz w:val="24"/>
          <w:szCs w:val="24"/>
        </w:rPr>
        <w:t xml:space="preserve">Properties will be advertised via Property Pool Plus in a staggered manner. Approximately five to six properties will be advertised each week to ensure that applicants have multiple opportunities to place bids on several properties within the development. Adverts will state which properties will be advertised with priority for certain housing bands and preference to employment, homelessness or under occupation. </w:t>
      </w:r>
    </w:p>
    <w:p w14:paraId="3ACD0DA7" w14:textId="77777777" w:rsidR="00EA5240" w:rsidRDefault="00EA5240" w:rsidP="00EA5240">
      <w:pPr>
        <w:jc w:val="both"/>
        <w:rPr>
          <w:rFonts w:ascii="Calibri" w:hAnsi="Calibri" w:cs="Calibri"/>
          <w:bCs/>
          <w:sz w:val="24"/>
          <w:szCs w:val="24"/>
        </w:rPr>
      </w:pPr>
    </w:p>
    <w:p w14:paraId="67919A8E" w14:textId="77777777" w:rsidR="00EA5240" w:rsidRDefault="00EA5240" w:rsidP="00EA5240">
      <w:pPr>
        <w:jc w:val="both"/>
        <w:rPr>
          <w:rFonts w:ascii="Calibri" w:hAnsi="Calibri" w:cs="Calibri"/>
          <w:sz w:val="24"/>
          <w:szCs w:val="24"/>
        </w:rPr>
      </w:pPr>
      <w:r w:rsidRPr="00071259">
        <w:rPr>
          <w:rStyle w:val="cf01"/>
          <w:rFonts w:ascii="Calibri" w:hAnsi="Calibri" w:cs="Calibri"/>
          <w:sz w:val="24"/>
          <w:szCs w:val="24"/>
        </w:rPr>
        <w:t>In the event that there are no suitable applicants on the shortlist with the required housing band stated on the advert</w:t>
      </w:r>
      <w:r w:rsidRPr="0071357A">
        <w:rPr>
          <w:rFonts w:ascii="Calibri" w:hAnsi="Calibri" w:cs="Calibri"/>
          <w:sz w:val="24"/>
          <w:szCs w:val="24"/>
        </w:rPr>
        <w:t xml:space="preserve"> who meet the agreed criteria</w:t>
      </w:r>
      <w:r>
        <w:rPr>
          <w:rFonts w:ascii="Calibri" w:hAnsi="Calibri" w:cs="Calibri"/>
          <w:sz w:val="24"/>
          <w:szCs w:val="24"/>
        </w:rPr>
        <w:t xml:space="preserve"> or preference, the preference stated on the advert will be disregarded and Onward will revisit the shortlist and allocate the property to the applicant with the oldest effective date on the shortlist with the housing band stated in the advert. </w:t>
      </w:r>
    </w:p>
    <w:p w14:paraId="57E32016" w14:textId="77777777" w:rsidR="00EA5240" w:rsidRDefault="00EA5240" w:rsidP="00EA5240">
      <w:pPr>
        <w:rPr>
          <w:rFonts w:ascii="Calibri" w:hAnsi="Calibri" w:cs="Calibri"/>
          <w:sz w:val="24"/>
          <w:szCs w:val="24"/>
        </w:rPr>
      </w:pPr>
    </w:p>
    <w:p w14:paraId="3F52D86A" w14:textId="77777777" w:rsidR="00EA5240" w:rsidRDefault="00EA5240" w:rsidP="00EA5240">
      <w:pPr>
        <w:rPr>
          <w:rFonts w:ascii="Calibri" w:hAnsi="Calibri" w:cs="Calibri"/>
          <w:sz w:val="24"/>
          <w:szCs w:val="24"/>
        </w:rPr>
      </w:pPr>
      <w:r>
        <w:rPr>
          <w:rFonts w:ascii="Calibri" w:hAnsi="Calibri" w:cs="Calibri"/>
          <w:sz w:val="24"/>
          <w:szCs w:val="24"/>
        </w:rPr>
        <w:t xml:space="preserve">In the event that there are still not suitable applicants once the shortlist has been restored, the property will be readvertised to all within the stated housing bands, irrespective of preferences stated in this LLP. </w:t>
      </w:r>
    </w:p>
    <w:p w14:paraId="7F8DABEF" w14:textId="77777777" w:rsidR="00D33C4C" w:rsidRDefault="00D33C4C" w:rsidP="00EA5240">
      <w:pPr>
        <w:rPr>
          <w:rFonts w:ascii="Calibri" w:hAnsi="Calibri" w:cs="Calibri"/>
          <w:sz w:val="24"/>
          <w:szCs w:val="24"/>
        </w:rPr>
      </w:pPr>
    </w:p>
    <w:p w14:paraId="5A712D6A" w14:textId="3F5233BA" w:rsidR="008A1C37" w:rsidRDefault="008E28D4" w:rsidP="00BD0F64">
      <w:pPr>
        <w:jc w:val="both"/>
        <w:rPr>
          <w:rFonts w:ascii="Calibri" w:hAnsi="Calibri" w:cs="Calibri"/>
          <w:sz w:val="24"/>
          <w:szCs w:val="24"/>
        </w:rPr>
      </w:pPr>
      <w:r w:rsidRPr="0006644B">
        <w:rPr>
          <w:rFonts w:ascii="Calibri" w:hAnsi="Calibri" w:cs="Calibri"/>
          <w:sz w:val="24"/>
          <w:szCs w:val="24"/>
        </w:rPr>
        <w:t>At the point of lettings all applicants must have provided all proofs required and requested, or their expression of interest will not be considered.</w:t>
      </w:r>
      <w:r w:rsidR="00C44AAC" w:rsidRPr="300CF621">
        <w:rPr>
          <w:rFonts w:ascii="Calibri" w:hAnsi="Calibri" w:cs="Calibri"/>
          <w:sz w:val="24"/>
          <w:szCs w:val="24"/>
        </w:rPr>
        <w:t xml:space="preserve"> </w:t>
      </w:r>
      <w:r w:rsidRPr="0006644B">
        <w:rPr>
          <w:rFonts w:ascii="Calibri" w:hAnsi="Calibri" w:cs="Calibri"/>
          <w:sz w:val="24"/>
          <w:szCs w:val="24"/>
        </w:rPr>
        <w:t>Applicants will also be required to undergo checks in relation to how they have managed previous tenancies. Any applicant who has had an unsuccessful tenancy previously may not be considered for a property on this</w:t>
      </w:r>
      <w:r w:rsidRPr="0006644B" w:rsidDel="00AD2FF4">
        <w:rPr>
          <w:rFonts w:ascii="Calibri" w:hAnsi="Calibri" w:cs="Calibri"/>
          <w:sz w:val="24"/>
          <w:szCs w:val="24"/>
        </w:rPr>
        <w:t xml:space="preserve"> </w:t>
      </w:r>
      <w:r w:rsidRPr="0006644B">
        <w:rPr>
          <w:rFonts w:ascii="Calibri" w:hAnsi="Calibri" w:cs="Calibri"/>
          <w:sz w:val="24"/>
          <w:szCs w:val="24"/>
        </w:rPr>
        <w:t>development.</w:t>
      </w:r>
    </w:p>
    <w:p w14:paraId="18395EBC" w14:textId="77777777" w:rsidR="008A1C37" w:rsidRDefault="008A1C37" w:rsidP="008A1C37">
      <w:pPr>
        <w:ind w:left="785"/>
        <w:rPr>
          <w:rFonts w:ascii="Calibri" w:hAnsi="Calibri" w:cs="Calibri"/>
          <w:sz w:val="24"/>
          <w:szCs w:val="24"/>
        </w:rPr>
      </w:pPr>
    </w:p>
    <w:p w14:paraId="296346D9" w14:textId="77777777" w:rsidR="00C44AAC" w:rsidRDefault="008A1C37" w:rsidP="00BD0F64">
      <w:pPr>
        <w:jc w:val="both"/>
        <w:rPr>
          <w:rFonts w:ascii="Calibri" w:hAnsi="Calibri" w:cs="Calibri"/>
          <w:bCs/>
          <w:sz w:val="24"/>
          <w:szCs w:val="24"/>
        </w:rPr>
      </w:pPr>
      <w:r w:rsidRPr="00A119F0">
        <w:rPr>
          <w:rFonts w:ascii="Calibri" w:hAnsi="Calibri" w:cs="Calibri"/>
          <w:bCs/>
          <w:sz w:val="24"/>
          <w:szCs w:val="24"/>
        </w:rPr>
        <w:t>All applicants will be subject to an Affordability Assessment to make sure that applicants can afford the rent and other costs of the tenancy. Onward Homes reserve the right to not make an offer to an applicant who is unable to afford the property irrespective of their housing need.</w:t>
      </w:r>
    </w:p>
    <w:p w14:paraId="1230BE50" w14:textId="77777777" w:rsidR="008E28D4" w:rsidRPr="0006644B" w:rsidRDefault="008E28D4" w:rsidP="008E28D4">
      <w:pPr>
        <w:ind w:left="1084"/>
        <w:rPr>
          <w:rFonts w:ascii="Calibri" w:hAnsi="Calibri" w:cs="Calibri"/>
          <w:sz w:val="24"/>
          <w:szCs w:val="24"/>
        </w:rPr>
      </w:pPr>
    </w:p>
    <w:p w14:paraId="7301B290" w14:textId="028B51BC" w:rsidR="008E28D4" w:rsidRPr="005E52E6" w:rsidRDefault="008E28D4" w:rsidP="00CF4F18">
      <w:pPr>
        <w:pStyle w:val="ListParagraph"/>
        <w:numPr>
          <w:ilvl w:val="0"/>
          <w:numId w:val="9"/>
        </w:numPr>
        <w:rPr>
          <w:rFonts w:ascii="Calibri" w:hAnsi="Calibri" w:cs="Calibri"/>
          <w:b/>
        </w:rPr>
      </w:pPr>
      <w:r w:rsidRPr="005E52E6">
        <w:rPr>
          <w:rFonts w:ascii="Calibri" w:hAnsi="Calibri" w:cs="Calibri"/>
          <w:b/>
        </w:rPr>
        <w:t>Review and Monitoring</w:t>
      </w:r>
    </w:p>
    <w:p w14:paraId="232C44A9" w14:textId="77777777" w:rsidR="008E28D4" w:rsidRPr="005E52E6" w:rsidRDefault="008E28D4" w:rsidP="008E28D4">
      <w:pPr>
        <w:rPr>
          <w:rFonts w:ascii="Calibri" w:hAnsi="Calibri" w:cs="Calibri"/>
          <w:sz w:val="24"/>
          <w:szCs w:val="24"/>
        </w:rPr>
      </w:pPr>
      <w:r w:rsidRPr="005E52E6">
        <w:rPr>
          <w:rFonts w:ascii="Calibri" w:hAnsi="Calibri" w:cs="Calibri"/>
          <w:sz w:val="24"/>
          <w:szCs w:val="24"/>
        </w:rPr>
        <w:t xml:space="preserve">  </w:t>
      </w:r>
    </w:p>
    <w:p w14:paraId="7452D518" w14:textId="4A29F5FF" w:rsidR="008E28D4" w:rsidRPr="005E52E6" w:rsidRDefault="008E28D4" w:rsidP="008E28D4">
      <w:pPr>
        <w:jc w:val="both"/>
        <w:rPr>
          <w:rFonts w:ascii="Calibri" w:hAnsi="Calibri" w:cs="Calibri"/>
          <w:sz w:val="24"/>
          <w:szCs w:val="24"/>
        </w:rPr>
      </w:pPr>
      <w:r w:rsidRPr="005E52E6">
        <w:rPr>
          <w:rFonts w:ascii="Calibri" w:hAnsi="Calibri" w:cs="Calibri"/>
          <w:sz w:val="24"/>
          <w:szCs w:val="24"/>
        </w:rPr>
        <w:t xml:space="preserve">This policy will be reviewed after </w:t>
      </w:r>
      <w:r w:rsidR="000959E0" w:rsidRPr="005E52E6">
        <w:rPr>
          <w:rFonts w:ascii="Calibri" w:hAnsi="Calibri" w:cs="Calibri"/>
          <w:sz w:val="24"/>
          <w:szCs w:val="24"/>
        </w:rPr>
        <w:t xml:space="preserve">6 </w:t>
      </w:r>
      <w:r w:rsidRPr="005E52E6">
        <w:rPr>
          <w:rFonts w:ascii="Calibri" w:hAnsi="Calibri" w:cs="Calibri"/>
          <w:sz w:val="24"/>
          <w:szCs w:val="24"/>
        </w:rPr>
        <w:t>months to ensure it meets the needs of the following:</w:t>
      </w:r>
    </w:p>
    <w:p w14:paraId="28C5E16C" w14:textId="77777777" w:rsidR="008E28D4" w:rsidRPr="005E52E6" w:rsidRDefault="008E28D4" w:rsidP="008E28D4">
      <w:pPr>
        <w:jc w:val="both"/>
        <w:rPr>
          <w:rFonts w:ascii="Calibri" w:hAnsi="Calibri" w:cs="Calibri"/>
          <w:sz w:val="24"/>
          <w:szCs w:val="24"/>
        </w:rPr>
      </w:pPr>
    </w:p>
    <w:p w14:paraId="4A65AEB2" w14:textId="77777777" w:rsidR="008E28D4" w:rsidRPr="005E52E6" w:rsidRDefault="008E28D4" w:rsidP="008E28D4">
      <w:pPr>
        <w:numPr>
          <w:ilvl w:val="0"/>
          <w:numId w:val="3"/>
        </w:numPr>
        <w:jc w:val="both"/>
        <w:rPr>
          <w:rFonts w:ascii="Calibri" w:hAnsi="Calibri" w:cs="Calibri"/>
          <w:sz w:val="24"/>
          <w:szCs w:val="24"/>
        </w:rPr>
      </w:pPr>
      <w:r w:rsidRPr="005E52E6">
        <w:rPr>
          <w:rFonts w:ascii="Calibri" w:hAnsi="Calibri" w:cs="Calibri"/>
          <w:sz w:val="24"/>
          <w:szCs w:val="24"/>
        </w:rPr>
        <w:t xml:space="preserve">Residents living on the new development sites </w:t>
      </w:r>
    </w:p>
    <w:p w14:paraId="39EBC0ED" w14:textId="77777777" w:rsidR="008E28D4" w:rsidRPr="005E52E6" w:rsidRDefault="008E28D4" w:rsidP="008E28D4">
      <w:pPr>
        <w:numPr>
          <w:ilvl w:val="0"/>
          <w:numId w:val="3"/>
        </w:numPr>
        <w:jc w:val="both"/>
        <w:rPr>
          <w:rFonts w:ascii="Calibri" w:hAnsi="Calibri" w:cs="Calibri"/>
          <w:sz w:val="24"/>
          <w:szCs w:val="24"/>
        </w:rPr>
      </w:pPr>
      <w:r w:rsidRPr="005E52E6">
        <w:rPr>
          <w:rFonts w:ascii="Calibri" w:hAnsi="Calibri" w:cs="Calibri"/>
          <w:sz w:val="24"/>
          <w:szCs w:val="24"/>
        </w:rPr>
        <w:t>Surrounding Community</w:t>
      </w:r>
    </w:p>
    <w:p w14:paraId="24550AE8" w14:textId="77777777" w:rsidR="008E28D4" w:rsidRPr="005E52E6" w:rsidRDefault="008E28D4" w:rsidP="008E28D4">
      <w:pPr>
        <w:numPr>
          <w:ilvl w:val="0"/>
          <w:numId w:val="3"/>
        </w:numPr>
        <w:jc w:val="both"/>
        <w:rPr>
          <w:rFonts w:ascii="Calibri" w:hAnsi="Calibri" w:cs="Calibri"/>
          <w:sz w:val="24"/>
          <w:szCs w:val="24"/>
        </w:rPr>
      </w:pPr>
      <w:r w:rsidRPr="005E52E6">
        <w:rPr>
          <w:rFonts w:ascii="Calibri" w:hAnsi="Calibri" w:cs="Calibri"/>
          <w:sz w:val="24"/>
          <w:szCs w:val="24"/>
        </w:rPr>
        <w:t xml:space="preserve">Best practice and legislation </w:t>
      </w:r>
    </w:p>
    <w:p w14:paraId="6D9032B5" w14:textId="53099582" w:rsidR="008E28D4" w:rsidRPr="005E52E6" w:rsidRDefault="008E28D4" w:rsidP="008E28D4">
      <w:pPr>
        <w:numPr>
          <w:ilvl w:val="0"/>
          <w:numId w:val="3"/>
        </w:numPr>
        <w:jc w:val="both"/>
        <w:rPr>
          <w:rFonts w:ascii="Calibri" w:hAnsi="Calibri" w:cs="Calibri"/>
          <w:sz w:val="24"/>
          <w:szCs w:val="24"/>
        </w:rPr>
      </w:pPr>
      <w:r w:rsidRPr="005E52E6">
        <w:rPr>
          <w:rFonts w:ascii="Calibri" w:hAnsi="Calibri" w:cs="Calibri"/>
          <w:sz w:val="24"/>
          <w:szCs w:val="24"/>
        </w:rPr>
        <w:t xml:space="preserve">The housing market in </w:t>
      </w:r>
      <w:r w:rsidR="002056A4" w:rsidRPr="005E52E6">
        <w:rPr>
          <w:rFonts w:ascii="Calibri" w:hAnsi="Calibri" w:cs="Calibri"/>
          <w:sz w:val="24"/>
          <w:szCs w:val="24"/>
        </w:rPr>
        <w:t>Knowsley</w:t>
      </w:r>
    </w:p>
    <w:p w14:paraId="4FF62E15" w14:textId="1D406C88" w:rsidR="008E28D4" w:rsidRPr="003D3029" w:rsidRDefault="002056A4" w:rsidP="008E28D4">
      <w:pPr>
        <w:numPr>
          <w:ilvl w:val="0"/>
          <w:numId w:val="3"/>
        </w:numPr>
        <w:jc w:val="both"/>
        <w:rPr>
          <w:rFonts w:ascii="Calibri" w:hAnsi="Calibri" w:cs="Calibri"/>
          <w:sz w:val="24"/>
          <w:szCs w:val="24"/>
        </w:rPr>
      </w:pPr>
      <w:r w:rsidRPr="005E52E6">
        <w:rPr>
          <w:rFonts w:ascii="Calibri" w:hAnsi="Calibri" w:cs="Calibri"/>
          <w:sz w:val="24"/>
          <w:szCs w:val="24"/>
        </w:rPr>
        <w:t>Knowsley</w:t>
      </w:r>
      <w:r w:rsidR="00892C03" w:rsidRPr="005E52E6">
        <w:rPr>
          <w:rFonts w:ascii="Calibri" w:hAnsi="Calibri" w:cs="Calibri"/>
          <w:sz w:val="24"/>
          <w:szCs w:val="24"/>
        </w:rPr>
        <w:t xml:space="preserve"> </w:t>
      </w:r>
      <w:r w:rsidR="008E28D4" w:rsidRPr="005E52E6">
        <w:rPr>
          <w:rFonts w:ascii="Calibri" w:hAnsi="Calibri" w:cs="Calibri"/>
          <w:sz w:val="24"/>
          <w:szCs w:val="24"/>
        </w:rPr>
        <w:t xml:space="preserve">Council’s strategic housing needs. </w:t>
      </w:r>
    </w:p>
    <w:p w14:paraId="3252BDDC" w14:textId="77777777" w:rsidR="008E28D4" w:rsidRPr="0006644B" w:rsidRDefault="008E28D4" w:rsidP="008E28D4">
      <w:pPr>
        <w:rPr>
          <w:rFonts w:ascii="Calibri" w:hAnsi="Calibri" w:cs="Calibri"/>
          <w:sz w:val="24"/>
          <w:szCs w:val="24"/>
        </w:rPr>
      </w:pPr>
    </w:p>
    <w:p w14:paraId="2B7D79A9" w14:textId="77777777" w:rsidR="004A438A" w:rsidRPr="0006644B" w:rsidRDefault="004A438A" w:rsidP="004A438A">
      <w:pPr>
        <w:jc w:val="both"/>
        <w:rPr>
          <w:rFonts w:ascii="Calibri" w:hAnsi="Calibri" w:cs="Calibri"/>
          <w:sz w:val="24"/>
          <w:szCs w:val="24"/>
        </w:rPr>
      </w:pPr>
      <w:r w:rsidRPr="004A438A">
        <w:rPr>
          <w:rFonts w:ascii="Calibri" w:hAnsi="Calibri" w:cs="Calibri"/>
          <w:sz w:val="24"/>
          <w:szCs w:val="24"/>
        </w:rPr>
        <w:t>Onward Homes will review this policy in consultation with Knowsley Metropolitan Borough Council, tenants</w:t>
      </w:r>
      <w:r w:rsidRPr="004A438A">
        <w:rPr>
          <w:rFonts w:ascii="Calibri" w:hAnsi="Calibri" w:cs="Calibri"/>
          <w:color w:val="000000"/>
          <w:sz w:val="24"/>
          <w:szCs w:val="24"/>
        </w:rPr>
        <w:t>, local residents, and Ward</w:t>
      </w:r>
      <w:r w:rsidRPr="004A438A">
        <w:rPr>
          <w:rFonts w:ascii="Calibri" w:hAnsi="Calibri" w:cs="Calibri"/>
          <w:sz w:val="24"/>
          <w:szCs w:val="24"/>
        </w:rPr>
        <w:t xml:space="preserve"> Members.</w:t>
      </w:r>
    </w:p>
    <w:p w14:paraId="2B4A7FC8" w14:textId="77777777" w:rsidR="008E28D4" w:rsidRPr="0006644B" w:rsidRDefault="008E28D4" w:rsidP="008E28D4">
      <w:pPr>
        <w:rPr>
          <w:rFonts w:ascii="Calibri" w:hAnsi="Calibri" w:cs="Calibri"/>
          <w:sz w:val="24"/>
          <w:szCs w:val="24"/>
        </w:rPr>
      </w:pPr>
    </w:p>
    <w:p w14:paraId="6414F3D8" w14:textId="6F5330F3" w:rsidR="008E28D4" w:rsidRPr="00CF4F18" w:rsidRDefault="008E28D4" w:rsidP="00CF4F18">
      <w:pPr>
        <w:pStyle w:val="ListParagraph"/>
        <w:numPr>
          <w:ilvl w:val="0"/>
          <w:numId w:val="9"/>
        </w:numPr>
        <w:rPr>
          <w:rFonts w:ascii="Calibri" w:hAnsi="Calibri" w:cs="Calibri"/>
          <w:b/>
        </w:rPr>
      </w:pPr>
      <w:r w:rsidRPr="00CF4F18">
        <w:rPr>
          <w:rFonts w:ascii="Calibri" w:hAnsi="Calibri" w:cs="Calibri"/>
          <w:b/>
        </w:rPr>
        <w:t>Allocation policy</w:t>
      </w:r>
    </w:p>
    <w:p w14:paraId="12DB9DA8" w14:textId="77777777" w:rsidR="008E28D4" w:rsidRPr="0006644B" w:rsidRDefault="008E28D4" w:rsidP="008E28D4">
      <w:pPr>
        <w:rPr>
          <w:rFonts w:ascii="Calibri" w:hAnsi="Calibri" w:cs="Calibri"/>
          <w:sz w:val="24"/>
          <w:szCs w:val="24"/>
        </w:rPr>
      </w:pPr>
    </w:p>
    <w:p w14:paraId="2CE5EBB5" w14:textId="05C292AD" w:rsidR="00AE32B5" w:rsidRDefault="008E28D4" w:rsidP="004A3553">
      <w:pPr>
        <w:jc w:val="both"/>
        <w:rPr>
          <w:rFonts w:ascii="Calibri" w:hAnsi="Calibri" w:cs="Calibri"/>
          <w:sz w:val="24"/>
          <w:szCs w:val="24"/>
        </w:rPr>
      </w:pPr>
      <w:r w:rsidRPr="004A438A">
        <w:rPr>
          <w:rFonts w:ascii="Calibri" w:hAnsi="Calibri" w:cs="Calibri"/>
          <w:sz w:val="24"/>
          <w:szCs w:val="24"/>
        </w:rPr>
        <w:t xml:space="preserve">All other aspects of the allocation process will be carried out in accordance with </w:t>
      </w:r>
      <w:r w:rsidR="002056A4" w:rsidRPr="004A438A">
        <w:rPr>
          <w:rFonts w:ascii="Calibri" w:hAnsi="Calibri" w:cs="Calibri"/>
          <w:sz w:val="24"/>
          <w:szCs w:val="24"/>
        </w:rPr>
        <w:t xml:space="preserve">the Property Pool Plus Housing </w:t>
      </w:r>
      <w:r w:rsidRPr="004A438A">
        <w:rPr>
          <w:rFonts w:ascii="Calibri" w:hAnsi="Calibri" w:cs="Calibri"/>
          <w:sz w:val="24"/>
          <w:szCs w:val="24"/>
        </w:rPr>
        <w:t xml:space="preserve">Allocations </w:t>
      </w:r>
      <w:r w:rsidR="002056A4" w:rsidRPr="004A438A">
        <w:rPr>
          <w:rFonts w:ascii="Calibri" w:hAnsi="Calibri" w:cs="Calibri"/>
          <w:sz w:val="24"/>
          <w:szCs w:val="24"/>
        </w:rPr>
        <w:t>Scheme Procedure</w:t>
      </w:r>
      <w:r w:rsidR="00CF4F18" w:rsidRPr="004A438A">
        <w:rPr>
          <w:rFonts w:ascii="Calibri" w:hAnsi="Calibri" w:cs="Calibri"/>
          <w:sz w:val="24"/>
          <w:szCs w:val="24"/>
        </w:rPr>
        <w:t xml:space="preserve"> and Onwards Lettings and Allocation Policy</w:t>
      </w:r>
      <w:r w:rsidRPr="004A438A">
        <w:rPr>
          <w:rFonts w:ascii="Calibri" w:hAnsi="Calibri" w:cs="Calibri"/>
          <w:sz w:val="24"/>
          <w:szCs w:val="24"/>
        </w:rPr>
        <w:t>.</w:t>
      </w:r>
      <w:r w:rsidRPr="0006644B">
        <w:rPr>
          <w:rFonts w:ascii="Calibri" w:hAnsi="Calibri" w:cs="Calibri"/>
          <w:sz w:val="24"/>
          <w:szCs w:val="24"/>
        </w:rPr>
        <w:t xml:space="preserve"> </w:t>
      </w:r>
    </w:p>
    <w:p w14:paraId="4363F52C" w14:textId="77777777" w:rsidR="008E070B" w:rsidRDefault="008E070B" w:rsidP="004A3553">
      <w:pPr>
        <w:jc w:val="both"/>
        <w:rPr>
          <w:rFonts w:ascii="Calibri" w:hAnsi="Calibri" w:cs="Calibri"/>
          <w:sz w:val="24"/>
          <w:szCs w:val="24"/>
        </w:rPr>
      </w:pPr>
    </w:p>
    <w:p w14:paraId="5548F6E6" w14:textId="4407B9F6" w:rsidR="008E070B" w:rsidRDefault="008E070B" w:rsidP="004A3553">
      <w:pPr>
        <w:jc w:val="both"/>
        <w:rPr>
          <w:rFonts w:ascii="Calibri" w:hAnsi="Calibri" w:cs="Calibri"/>
          <w:sz w:val="24"/>
          <w:szCs w:val="24"/>
        </w:rPr>
      </w:pPr>
      <w:r>
        <w:rPr>
          <w:rFonts w:ascii="Calibri" w:hAnsi="Calibri" w:cs="Calibri"/>
          <w:sz w:val="24"/>
          <w:szCs w:val="24"/>
        </w:rPr>
        <w:t xml:space="preserve">This LLP only applies to the first round of lets, for subsequent lets the Property Pool Plus Housing Allocations Scheme Procedure will apply </w:t>
      </w:r>
      <w:r w:rsidR="00A621FD">
        <w:rPr>
          <w:rFonts w:ascii="Calibri" w:hAnsi="Calibri" w:cs="Calibri"/>
          <w:sz w:val="24"/>
          <w:szCs w:val="24"/>
        </w:rPr>
        <w:t>for all aspects of the allocation process</w:t>
      </w:r>
      <w:r>
        <w:rPr>
          <w:rFonts w:ascii="Calibri" w:hAnsi="Calibri" w:cs="Calibri"/>
          <w:sz w:val="24"/>
          <w:szCs w:val="24"/>
        </w:rPr>
        <w:t xml:space="preserve">, unless stated otherwise in a subsequent advertisement. </w:t>
      </w:r>
    </w:p>
    <w:p w14:paraId="40262717" w14:textId="77777777" w:rsidR="00AE32B5" w:rsidRDefault="00AE32B5" w:rsidP="003A6717">
      <w:pPr>
        <w:rPr>
          <w:rFonts w:ascii="Calibri" w:hAnsi="Calibri" w:cs="Calibri"/>
          <w:sz w:val="24"/>
          <w:szCs w:val="24"/>
        </w:rPr>
      </w:pPr>
    </w:p>
    <w:p w14:paraId="0004F342" w14:textId="6C3FA613" w:rsidR="00AE32B5" w:rsidRDefault="00AE32B5" w:rsidP="00AE32B5">
      <w:pPr>
        <w:pStyle w:val="ListParagraph"/>
        <w:numPr>
          <w:ilvl w:val="0"/>
          <w:numId w:val="9"/>
        </w:numPr>
        <w:rPr>
          <w:rFonts w:ascii="Calibri" w:hAnsi="Calibri" w:cs="Calibri"/>
          <w:b/>
          <w:bCs/>
        </w:rPr>
      </w:pPr>
      <w:r w:rsidRPr="00CF4F18">
        <w:rPr>
          <w:rFonts w:ascii="Calibri" w:hAnsi="Calibri" w:cs="Calibri"/>
          <w:b/>
          <w:bCs/>
        </w:rPr>
        <w:t>E</w:t>
      </w:r>
      <w:r w:rsidR="00AB3861" w:rsidRPr="00CF4F18">
        <w:rPr>
          <w:rFonts w:ascii="Calibri" w:hAnsi="Calibri" w:cs="Calibri"/>
          <w:b/>
          <w:bCs/>
        </w:rPr>
        <w:t xml:space="preserve">quality and Diversity </w:t>
      </w:r>
    </w:p>
    <w:p w14:paraId="6A034419" w14:textId="557BE927" w:rsidR="00CF4F18" w:rsidRPr="00685464" w:rsidRDefault="00CF4F18" w:rsidP="006668D8">
      <w:pPr>
        <w:pStyle w:val="ListParagraph"/>
        <w:ind w:left="0"/>
        <w:rPr>
          <w:rFonts w:ascii="Calibri" w:hAnsi="Calibri" w:cs="Calibri"/>
          <w:b/>
          <w:bCs/>
        </w:rPr>
      </w:pPr>
    </w:p>
    <w:p w14:paraId="46EF969B" w14:textId="20A3E270" w:rsidR="00685464" w:rsidRPr="00685464" w:rsidRDefault="00685464" w:rsidP="004A3553">
      <w:pPr>
        <w:jc w:val="both"/>
        <w:rPr>
          <w:rFonts w:ascii="Calibri" w:hAnsi="Calibri" w:cs="Calibri"/>
          <w:sz w:val="24"/>
          <w:szCs w:val="24"/>
        </w:rPr>
      </w:pPr>
      <w:r w:rsidRPr="00685464">
        <w:rPr>
          <w:rFonts w:ascii="Calibri" w:hAnsi="Calibri" w:cs="Calibri"/>
          <w:sz w:val="24"/>
          <w:szCs w:val="24"/>
        </w:rPr>
        <w:t>Onward Homes will only participate in allocations schemes that are compliant with the Equality Act 2010 and which offer equality of access to services for all applicants.</w:t>
      </w:r>
    </w:p>
    <w:p w14:paraId="38477336" w14:textId="11941B15" w:rsidR="00685464" w:rsidRPr="00685464" w:rsidRDefault="00685464" w:rsidP="004A3553">
      <w:pPr>
        <w:pStyle w:val="ListParagraph"/>
        <w:jc w:val="both"/>
      </w:pPr>
      <w:r w:rsidRPr="00685464">
        <w:rPr>
          <w:rFonts w:ascii="Calibri" w:hAnsi="Calibri" w:cs="Calibri"/>
        </w:rPr>
        <w:t xml:space="preserve"> </w:t>
      </w:r>
    </w:p>
    <w:p w14:paraId="496DDF15" w14:textId="281BA08E" w:rsidR="00AB3861" w:rsidRDefault="00685464" w:rsidP="004A3553">
      <w:pPr>
        <w:pStyle w:val="ListParagraph"/>
        <w:ind w:left="0"/>
        <w:jc w:val="both"/>
        <w:rPr>
          <w:rFonts w:ascii="Calibri" w:hAnsi="Calibri" w:cs="Calibri"/>
        </w:rPr>
      </w:pPr>
      <w:r w:rsidRPr="00685464">
        <w:rPr>
          <w:rFonts w:ascii="Calibri" w:hAnsi="Calibri" w:cs="Calibri"/>
        </w:rPr>
        <w:t>Choice Based Lettings schemes we participate in are equality impact assessed, and individual / internal policies are also impact assessed, in line with equality of access for applicants and any adverse/ positive impacts of those policies on our customers.</w:t>
      </w:r>
    </w:p>
    <w:p w14:paraId="6E307BC7" w14:textId="77777777" w:rsidR="004B0ACF" w:rsidRDefault="004B0ACF" w:rsidP="00685464">
      <w:pPr>
        <w:pStyle w:val="ListParagraph"/>
        <w:ind w:left="0"/>
        <w:rPr>
          <w:rFonts w:ascii="Calibri" w:hAnsi="Calibri" w:cs="Calibri"/>
        </w:rPr>
      </w:pPr>
    </w:p>
    <w:p w14:paraId="03CB0474" w14:textId="5F4B61F1" w:rsidR="004B0ACF" w:rsidRPr="00CE11DD" w:rsidRDefault="00CD3048" w:rsidP="004A3553">
      <w:pPr>
        <w:jc w:val="both"/>
        <w:rPr>
          <w:rFonts w:ascii="Calibri" w:hAnsi="Calibri" w:cs="Calibri"/>
          <w:sz w:val="24"/>
          <w:szCs w:val="24"/>
          <w:lang w:eastAsia="en-GB"/>
        </w:rPr>
      </w:pPr>
      <w:r>
        <w:rPr>
          <w:rFonts w:ascii="Calibri" w:hAnsi="Calibri" w:cs="Calibri"/>
          <w:sz w:val="24"/>
          <w:szCs w:val="24"/>
        </w:rPr>
        <w:t>In line with Onward Homes Equality, Diversity, and Inclusion Statement w</w:t>
      </w:r>
      <w:r w:rsidRPr="00685464">
        <w:rPr>
          <w:rFonts w:ascii="Calibri" w:hAnsi="Calibri" w:cs="Calibri"/>
          <w:sz w:val="24"/>
          <w:szCs w:val="24"/>
        </w:rPr>
        <w:t>e assess our policies</w:t>
      </w:r>
      <w:r>
        <w:rPr>
          <w:rFonts w:ascii="Calibri" w:hAnsi="Calibri" w:cs="Calibri"/>
          <w:sz w:val="24"/>
          <w:szCs w:val="24"/>
        </w:rPr>
        <w:t xml:space="preserve"> and have</w:t>
      </w:r>
      <w:r w:rsidR="004B0ACF">
        <w:rPr>
          <w:rFonts w:ascii="Calibri" w:hAnsi="Calibri" w:cs="Calibri"/>
        </w:rPr>
        <w:t xml:space="preserve"> </w:t>
      </w:r>
      <w:r w:rsidR="004B0ACF" w:rsidRPr="004A438A">
        <w:rPr>
          <w:rFonts w:ascii="Calibri" w:hAnsi="Calibri" w:cs="Calibri"/>
          <w:sz w:val="24"/>
          <w:szCs w:val="24"/>
        </w:rPr>
        <w:t xml:space="preserve">completed an Equality Impact </w:t>
      </w:r>
      <w:r w:rsidR="00722C8C" w:rsidRPr="004A438A">
        <w:rPr>
          <w:rFonts w:ascii="Calibri" w:hAnsi="Calibri" w:cs="Calibri"/>
          <w:sz w:val="24"/>
          <w:szCs w:val="24"/>
        </w:rPr>
        <w:t>Assessment in relation to Greene’s Road, Whiston which is att</w:t>
      </w:r>
      <w:r w:rsidR="00722C8C" w:rsidRPr="0043523D">
        <w:rPr>
          <w:rFonts w:ascii="Calibri" w:hAnsi="Calibri" w:cs="Calibri"/>
          <w:sz w:val="24"/>
          <w:szCs w:val="24"/>
        </w:rPr>
        <w:t>ached in Appendix A</w:t>
      </w:r>
      <w:r w:rsidR="00FE0851" w:rsidRPr="0043523D">
        <w:rPr>
          <w:rFonts w:ascii="Calibri" w:hAnsi="Calibri" w:cs="Calibri"/>
          <w:sz w:val="24"/>
          <w:szCs w:val="24"/>
        </w:rPr>
        <w:t>.</w:t>
      </w:r>
      <w:r w:rsidR="0059690A" w:rsidRPr="0043523D">
        <w:rPr>
          <w:rFonts w:ascii="Calibri" w:hAnsi="Calibri" w:cs="Calibri"/>
          <w:sz w:val="24"/>
          <w:szCs w:val="24"/>
        </w:rPr>
        <w:t xml:space="preserve"> </w:t>
      </w:r>
      <w:r w:rsidR="00FE0851" w:rsidRPr="0043523D">
        <w:rPr>
          <w:rFonts w:ascii="Calibri" w:hAnsi="Calibri" w:cs="Calibri"/>
          <w:sz w:val="24"/>
          <w:szCs w:val="24"/>
        </w:rPr>
        <w:t>The impact</w:t>
      </w:r>
      <w:r w:rsidR="00FE0851" w:rsidRPr="004A438A">
        <w:rPr>
          <w:rFonts w:ascii="Calibri" w:hAnsi="Calibri" w:cs="Calibri"/>
          <w:sz w:val="24"/>
          <w:szCs w:val="24"/>
        </w:rPr>
        <w:t xml:space="preserve"> of this LLP has identified no or low impacts for any protected groups of people. </w:t>
      </w:r>
      <w:r>
        <w:rPr>
          <w:rFonts w:ascii="Calibri" w:hAnsi="Calibri" w:cs="Calibri"/>
          <w:sz w:val="24"/>
          <w:szCs w:val="24"/>
          <w:lang w:eastAsia="en-GB"/>
        </w:rPr>
        <w:t xml:space="preserve">Where it has been identified that this policy may have negative equality impacts, Onward Homes have taken proactive steps to mitigate any potential negative impacts. </w:t>
      </w:r>
    </w:p>
    <w:p w14:paraId="598BC501" w14:textId="77777777" w:rsidR="0029536A" w:rsidRDefault="0029536A" w:rsidP="00685464">
      <w:pPr>
        <w:pStyle w:val="ListParagraph"/>
        <w:ind w:left="0"/>
        <w:rPr>
          <w:rFonts w:ascii="Calibri" w:hAnsi="Calibri" w:cs="Calibri"/>
        </w:rPr>
      </w:pPr>
    </w:p>
    <w:p w14:paraId="7585100A" w14:textId="77777777" w:rsidR="0029536A" w:rsidRDefault="0029536A" w:rsidP="00685464">
      <w:pPr>
        <w:pStyle w:val="ListParagraph"/>
        <w:ind w:left="0"/>
        <w:rPr>
          <w:rFonts w:ascii="Calibri" w:hAnsi="Calibri" w:cs="Calibri"/>
        </w:rPr>
      </w:pPr>
    </w:p>
    <w:p w14:paraId="2F26E01D" w14:textId="77777777" w:rsidR="000259C0" w:rsidRDefault="000259C0" w:rsidP="00685464">
      <w:pPr>
        <w:pStyle w:val="ListParagraph"/>
        <w:ind w:left="0"/>
        <w:rPr>
          <w:rFonts w:ascii="Calibri" w:hAnsi="Calibri" w:cs="Calibri"/>
        </w:rPr>
      </w:pPr>
    </w:p>
    <w:p w14:paraId="5398A1FB" w14:textId="77777777" w:rsidR="000259C0" w:rsidRDefault="000259C0" w:rsidP="00685464">
      <w:pPr>
        <w:pStyle w:val="ListParagraph"/>
        <w:ind w:left="0"/>
        <w:rPr>
          <w:rFonts w:ascii="Calibri" w:hAnsi="Calibri" w:cs="Calibri"/>
        </w:rPr>
      </w:pPr>
    </w:p>
    <w:p w14:paraId="6E703AF2" w14:textId="77777777" w:rsidR="00145A99" w:rsidRDefault="00145A99" w:rsidP="00685464">
      <w:pPr>
        <w:pStyle w:val="ListParagraph"/>
        <w:ind w:left="0"/>
        <w:rPr>
          <w:rFonts w:ascii="Calibri" w:hAnsi="Calibri" w:cs="Calibri"/>
        </w:rPr>
      </w:pPr>
    </w:p>
    <w:p w14:paraId="1F38BA1A" w14:textId="77777777" w:rsidR="00145A99" w:rsidRDefault="00145A99" w:rsidP="00685464">
      <w:pPr>
        <w:pStyle w:val="ListParagraph"/>
        <w:ind w:left="0"/>
        <w:rPr>
          <w:rFonts w:ascii="Calibri" w:hAnsi="Calibri" w:cs="Calibri"/>
        </w:rPr>
      </w:pPr>
    </w:p>
    <w:p w14:paraId="1494F156" w14:textId="77777777" w:rsidR="00145A99" w:rsidRDefault="00145A99" w:rsidP="00685464">
      <w:pPr>
        <w:pStyle w:val="ListParagraph"/>
        <w:ind w:left="0"/>
        <w:rPr>
          <w:rFonts w:ascii="Calibri" w:hAnsi="Calibri" w:cs="Calibri"/>
        </w:rPr>
      </w:pPr>
    </w:p>
    <w:p w14:paraId="31A0ECF6" w14:textId="77777777" w:rsidR="00145A99" w:rsidRDefault="00145A99" w:rsidP="00685464">
      <w:pPr>
        <w:pStyle w:val="ListParagraph"/>
        <w:ind w:left="0"/>
        <w:rPr>
          <w:rFonts w:ascii="Calibri" w:hAnsi="Calibri" w:cs="Calibri"/>
        </w:rPr>
      </w:pPr>
    </w:p>
    <w:p w14:paraId="32F57731" w14:textId="77777777" w:rsidR="00145A99" w:rsidRDefault="00145A99" w:rsidP="00685464">
      <w:pPr>
        <w:pStyle w:val="ListParagraph"/>
        <w:ind w:left="0"/>
        <w:rPr>
          <w:rFonts w:ascii="Calibri" w:hAnsi="Calibri" w:cs="Calibri"/>
        </w:rPr>
      </w:pPr>
    </w:p>
    <w:p w14:paraId="72F53CAA" w14:textId="77777777" w:rsidR="00145A99" w:rsidRDefault="00145A99" w:rsidP="00685464">
      <w:pPr>
        <w:pStyle w:val="ListParagraph"/>
        <w:ind w:left="0"/>
        <w:rPr>
          <w:rFonts w:ascii="Calibri" w:hAnsi="Calibri" w:cs="Calibri"/>
        </w:rPr>
      </w:pPr>
    </w:p>
    <w:p w14:paraId="409B0FE4" w14:textId="77777777" w:rsidR="00145A99" w:rsidRDefault="00145A99" w:rsidP="00685464">
      <w:pPr>
        <w:pStyle w:val="ListParagraph"/>
        <w:ind w:left="0"/>
        <w:rPr>
          <w:rFonts w:ascii="Calibri" w:hAnsi="Calibri" w:cs="Calibri"/>
        </w:rPr>
      </w:pPr>
    </w:p>
    <w:p w14:paraId="5C39FA8E" w14:textId="77777777" w:rsidR="00145A99" w:rsidRDefault="00145A99" w:rsidP="00685464">
      <w:pPr>
        <w:pStyle w:val="ListParagraph"/>
        <w:ind w:left="0"/>
        <w:rPr>
          <w:rFonts w:ascii="Calibri" w:hAnsi="Calibri" w:cs="Calibri"/>
        </w:rPr>
      </w:pPr>
    </w:p>
    <w:p w14:paraId="49575688" w14:textId="77777777" w:rsidR="00145A99" w:rsidRDefault="00145A99" w:rsidP="00685464">
      <w:pPr>
        <w:pStyle w:val="ListParagraph"/>
        <w:ind w:left="0"/>
        <w:rPr>
          <w:rFonts w:ascii="Calibri" w:hAnsi="Calibri" w:cs="Calibri"/>
        </w:rPr>
      </w:pPr>
    </w:p>
    <w:p w14:paraId="1D322C20" w14:textId="77777777" w:rsidR="00145A99" w:rsidRDefault="00145A99" w:rsidP="00685464">
      <w:pPr>
        <w:pStyle w:val="ListParagraph"/>
        <w:ind w:left="0"/>
        <w:rPr>
          <w:rFonts w:ascii="Calibri" w:hAnsi="Calibri" w:cs="Calibri"/>
        </w:rPr>
      </w:pPr>
    </w:p>
    <w:p w14:paraId="548B0197" w14:textId="77777777" w:rsidR="00145A99" w:rsidRDefault="00145A99" w:rsidP="00685464">
      <w:pPr>
        <w:pStyle w:val="ListParagraph"/>
        <w:ind w:left="0"/>
        <w:rPr>
          <w:rFonts w:ascii="Calibri" w:hAnsi="Calibri" w:cs="Calibri"/>
        </w:rPr>
      </w:pPr>
    </w:p>
    <w:p w14:paraId="7C57EA34" w14:textId="77777777" w:rsidR="00145A99" w:rsidRDefault="00145A99" w:rsidP="00685464">
      <w:pPr>
        <w:pStyle w:val="ListParagraph"/>
        <w:ind w:left="0"/>
        <w:rPr>
          <w:rFonts w:ascii="Calibri" w:hAnsi="Calibri" w:cs="Calibri"/>
        </w:rPr>
      </w:pPr>
    </w:p>
    <w:p w14:paraId="233609C0" w14:textId="77777777" w:rsidR="00145A99" w:rsidRDefault="00145A99" w:rsidP="00685464">
      <w:pPr>
        <w:pStyle w:val="ListParagraph"/>
        <w:ind w:left="0"/>
        <w:rPr>
          <w:rFonts w:ascii="Calibri" w:hAnsi="Calibri" w:cs="Calibri"/>
        </w:rPr>
      </w:pPr>
    </w:p>
    <w:p w14:paraId="61FDAAF0" w14:textId="77777777" w:rsidR="00145A99" w:rsidRDefault="00145A99" w:rsidP="00685464">
      <w:pPr>
        <w:pStyle w:val="ListParagraph"/>
        <w:ind w:left="0"/>
        <w:rPr>
          <w:rFonts w:ascii="Calibri" w:hAnsi="Calibri" w:cs="Calibri"/>
        </w:rPr>
      </w:pPr>
    </w:p>
    <w:p w14:paraId="4C2DCF28" w14:textId="77777777" w:rsidR="00145A99" w:rsidRDefault="00145A99" w:rsidP="00685464">
      <w:pPr>
        <w:pStyle w:val="ListParagraph"/>
        <w:ind w:left="0"/>
        <w:rPr>
          <w:rFonts w:ascii="Calibri" w:hAnsi="Calibri" w:cs="Calibri"/>
        </w:rPr>
      </w:pPr>
    </w:p>
    <w:p w14:paraId="504C877E" w14:textId="77777777" w:rsidR="00145A99" w:rsidRDefault="00145A99" w:rsidP="00685464">
      <w:pPr>
        <w:pStyle w:val="ListParagraph"/>
        <w:ind w:left="0"/>
        <w:rPr>
          <w:rFonts w:ascii="Calibri" w:hAnsi="Calibri" w:cs="Calibri"/>
        </w:rPr>
      </w:pPr>
    </w:p>
    <w:p w14:paraId="71AF7560" w14:textId="77777777" w:rsidR="00145A99" w:rsidRDefault="00145A99" w:rsidP="00685464">
      <w:pPr>
        <w:pStyle w:val="ListParagraph"/>
        <w:ind w:left="0"/>
        <w:rPr>
          <w:rFonts w:ascii="Calibri" w:hAnsi="Calibri" w:cs="Calibri"/>
        </w:rPr>
      </w:pPr>
    </w:p>
    <w:p w14:paraId="1982BFEA" w14:textId="77777777" w:rsidR="00145A99" w:rsidRDefault="00145A99" w:rsidP="00685464">
      <w:pPr>
        <w:pStyle w:val="ListParagraph"/>
        <w:ind w:left="0"/>
        <w:rPr>
          <w:rFonts w:ascii="Calibri" w:hAnsi="Calibri" w:cs="Calibri"/>
        </w:rPr>
      </w:pPr>
    </w:p>
    <w:p w14:paraId="25336F94" w14:textId="77777777" w:rsidR="00145A99" w:rsidRDefault="00145A99" w:rsidP="00685464">
      <w:pPr>
        <w:pStyle w:val="ListParagraph"/>
        <w:ind w:left="0"/>
        <w:rPr>
          <w:rFonts w:ascii="Calibri" w:hAnsi="Calibri" w:cs="Calibri"/>
        </w:rPr>
      </w:pPr>
    </w:p>
    <w:p w14:paraId="271A968E" w14:textId="77777777" w:rsidR="00145A99" w:rsidRDefault="00145A99" w:rsidP="00685464">
      <w:pPr>
        <w:pStyle w:val="ListParagraph"/>
        <w:ind w:left="0"/>
        <w:rPr>
          <w:rFonts w:ascii="Calibri" w:hAnsi="Calibri" w:cs="Calibri"/>
        </w:rPr>
      </w:pPr>
    </w:p>
    <w:p w14:paraId="25E277DF" w14:textId="1ADC8A7D" w:rsidR="00145A99" w:rsidRPr="00145A99" w:rsidRDefault="00145A99" w:rsidP="00145A99">
      <w:pPr>
        <w:spacing w:before="240"/>
        <w:rPr>
          <w:rFonts w:ascii="Arial" w:hAnsi="Arial" w:cs="Arial"/>
          <w:b/>
          <w:sz w:val="24"/>
          <w:szCs w:val="24"/>
        </w:rPr>
      </w:pPr>
      <w:r w:rsidRPr="00145A99">
        <w:rPr>
          <w:rFonts w:ascii="Arial" w:hAnsi="Arial" w:cs="Arial"/>
          <w:b/>
          <w:sz w:val="24"/>
          <w:szCs w:val="24"/>
        </w:rPr>
        <w:lastRenderedPageBreak/>
        <w:t xml:space="preserve">Appendix A </w:t>
      </w:r>
    </w:p>
    <w:p w14:paraId="1B72FA52" w14:textId="7611D9EE" w:rsidR="00145A99" w:rsidRDefault="00145A99" w:rsidP="00145A99">
      <w:pPr>
        <w:spacing w:before="240"/>
        <w:jc w:val="center"/>
        <w:rPr>
          <w:rFonts w:ascii="Arial" w:hAnsi="Arial" w:cs="Arial"/>
          <w:b/>
          <w:sz w:val="32"/>
          <w:szCs w:val="32"/>
        </w:rPr>
      </w:pPr>
      <w:r w:rsidRPr="00715196">
        <w:rPr>
          <w:rFonts w:ascii="Arial" w:hAnsi="Arial" w:cs="Arial"/>
          <w:b/>
          <w:sz w:val="32"/>
          <w:szCs w:val="32"/>
        </w:rPr>
        <w:t>Equality Impact Assessment</w:t>
      </w:r>
    </w:p>
    <w:p w14:paraId="24F9D809" w14:textId="77777777" w:rsidR="00145A99" w:rsidRPr="00B40C6E" w:rsidRDefault="00145A99" w:rsidP="00145A99">
      <w:pPr>
        <w:spacing w:before="240"/>
        <w:jc w:val="both"/>
        <w:rPr>
          <w:rFonts w:ascii="Arial" w:hAnsi="Arial" w:cs="Arial"/>
        </w:rPr>
      </w:pPr>
      <w:r w:rsidRPr="00B40C6E">
        <w:rPr>
          <w:rFonts w:ascii="Arial" w:hAnsi="Arial" w:cs="Arial"/>
        </w:rPr>
        <w:t xml:space="preserve">The aim of an equality impact assessment (EIA), is to consider the equality implications of </w:t>
      </w:r>
      <w:r>
        <w:rPr>
          <w:rFonts w:ascii="Arial" w:hAnsi="Arial" w:cs="Arial"/>
        </w:rPr>
        <w:t xml:space="preserve">this LLP </w:t>
      </w:r>
      <w:r w:rsidRPr="00B40C6E">
        <w:rPr>
          <w:rFonts w:ascii="Arial" w:hAnsi="Arial" w:cs="Arial"/>
        </w:rPr>
        <w:t xml:space="preserve">on </w:t>
      </w:r>
      <w:r>
        <w:rPr>
          <w:rFonts w:ascii="Arial" w:hAnsi="Arial" w:cs="Arial"/>
        </w:rPr>
        <w:t>applicants and customers</w:t>
      </w:r>
      <w:r w:rsidRPr="00B40C6E">
        <w:rPr>
          <w:rFonts w:ascii="Arial" w:hAnsi="Arial" w:cs="Arial"/>
        </w:rPr>
        <w:t>, and to consider if there are ways to proactively advance equality.</w:t>
      </w:r>
    </w:p>
    <w:p w14:paraId="1FE1863F" w14:textId="77777777" w:rsidR="00145A99" w:rsidRPr="00B40C6E" w:rsidRDefault="00145A99" w:rsidP="00145A99">
      <w:pPr>
        <w:spacing w:before="240"/>
        <w:rPr>
          <w:rFonts w:ascii="Arial" w:hAnsi="Arial" w:cs="Arial"/>
          <w:b/>
          <w:sz w:val="24"/>
          <w:szCs w:val="24"/>
        </w:rPr>
      </w:pPr>
      <w:r w:rsidRPr="00B40C6E">
        <w:rPr>
          <w:rFonts w:ascii="Arial" w:hAnsi="Arial" w:cs="Arial"/>
          <w:b/>
          <w:sz w:val="24"/>
          <w:szCs w:val="24"/>
        </w:rPr>
        <w:t>Overview:</w:t>
      </w:r>
    </w:p>
    <w:tbl>
      <w:tblPr>
        <w:tblStyle w:val="TableGrid"/>
        <w:tblW w:w="9634" w:type="dxa"/>
        <w:tblLayout w:type="fixed"/>
        <w:tblLook w:val="04A0" w:firstRow="1" w:lastRow="0" w:firstColumn="1" w:lastColumn="0" w:noHBand="0" w:noVBand="1"/>
      </w:tblPr>
      <w:tblGrid>
        <w:gridCol w:w="846"/>
        <w:gridCol w:w="3662"/>
        <w:gridCol w:w="874"/>
        <w:gridCol w:w="4252"/>
      </w:tblGrid>
      <w:tr w:rsidR="00145A99" w:rsidRPr="00B40C6E" w14:paraId="4D8E31FD" w14:textId="77777777" w:rsidTr="00145A99">
        <w:trPr>
          <w:trHeight w:val="851"/>
        </w:trPr>
        <w:tc>
          <w:tcPr>
            <w:tcW w:w="846" w:type="dxa"/>
            <w:vMerge w:val="restart"/>
            <w:shd w:val="clear" w:color="auto" w:fill="DAE9F7" w:themeFill="text2" w:themeFillTint="1A"/>
            <w:textDirection w:val="btLr"/>
          </w:tcPr>
          <w:p w14:paraId="29E7E279" w14:textId="77777777" w:rsidR="00145A99" w:rsidRPr="00B40C6E" w:rsidRDefault="00145A99" w:rsidP="0043523D">
            <w:pPr>
              <w:spacing w:before="240"/>
              <w:ind w:left="113" w:right="113"/>
              <w:jc w:val="center"/>
              <w:rPr>
                <w:rFonts w:ascii="Arial" w:hAnsi="Arial" w:cs="Arial"/>
                <w:b/>
                <w:sz w:val="24"/>
                <w:szCs w:val="24"/>
              </w:rPr>
            </w:pPr>
            <w:r w:rsidRPr="00B40C6E">
              <w:rPr>
                <w:rFonts w:ascii="Arial" w:hAnsi="Arial" w:cs="Arial"/>
                <w:b/>
                <w:color w:val="501549" w:themeColor="accent5" w:themeShade="80"/>
                <w:sz w:val="24"/>
                <w:szCs w:val="24"/>
              </w:rPr>
              <w:t>Question</w:t>
            </w:r>
          </w:p>
        </w:tc>
        <w:tc>
          <w:tcPr>
            <w:tcW w:w="3662" w:type="dxa"/>
          </w:tcPr>
          <w:p w14:paraId="3FE80FA7" w14:textId="77777777" w:rsidR="00145A99" w:rsidRPr="0032405C" w:rsidRDefault="00145A99" w:rsidP="00145A99">
            <w:pPr>
              <w:pStyle w:val="ListParagraph"/>
              <w:numPr>
                <w:ilvl w:val="0"/>
                <w:numId w:val="11"/>
              </w:numPr>
              <w:ind w:left="357" w:hanging="357"/>
              <w:contextualSpacing/>
              <w:rPr>
                <w:rFonts w:ascii="Arial" w:hAnsi="Arial" w:cs="Arial"/>
                <w:b/>
              </w:rPr>
            </w:pPr>
            <w:r w:rsidRPr="0032405C">
              <w:rPr>
                <w:rFonts w:ascii="Arial" w:hAnsi="Arial" w:cs="Arial"/>
              </w:rPr>
              <w:t>Name of</w:t>
            </w:r>
            <w:r>
              <w:rPr>
                <w:rFonts w:ascii="Arial" w:hAnsi="Arial" w:cs="Arial"/>
              </w:rPr>
              <w:t xml:space="preserve"> document</w:t>
            </w:r>
            <w:r w:rsidRPr="0032405C">
              <w:rPr>
                <w:rFonts w:ascii="Arial" w:hAnsi="Arial" w:cs="Arial"/>
              </w:rPr>
              <w:t xml:space="preserve"> being assessed, and brief overview </w:t>
            </w:r>
            <w:r w:rsidRPr="0032405C">
              <w:rPr>
                <w:rFonts w:ascii="Arial" w:hAnsi="Arial" w:cs="Arial"/>
                <w:color w:val="111723"/>
              </w:rPr>
              <w:t>of its aims</w:t>
            </w:r>
          </w:p>
        </w:tc>
        <w:tc>
          <w:tcPr>
            <w:tcW w:w="874" w:type="dxa"/>
            <w:vMerge w:val="restart"/>
            <w:shd w:val="clear" w:color="auto" w:fill="DAE9F7" w:themeFill="text2" w:themeFillTint="1A"/>
            <w:textDirection w:val="btLr"/>
          </w:tcPr>
          <w:p w14:paraId="44AD4F63" w14:textId="77777777" w:rsidR="00145A99" w:rsidRPr="00B40C6E" w:rsidRDefault="00145A99" w:rsidP="0043523D">
            <w:pPr>
              <w:spacing w:before="240"/>
              <w:ind w:right="113"/>
              <w:jc w:val="center"/>
              <w:rPr>
                <w:rFonts w:ascii="Arial" w:hAnsi="Arial" w:cs="Arial"/>
                <w:b/>
                <w:sz w:val="24"/>
                <w:szCs w:val="24"/>
              </w:rPr>
            </w:pPr>
            <w:r w:rsidRPr="00B40C6E">
              <w:rPr>
                <w:rFonts w:ascii="Arial" w:hAnsi="Arial" w:cs="Arial"/>
                <w:b/>
                <w:color w:val="501549" w:themeColor="accent5" w:themeShade="80"/>
                <w:sz w:val="24"/>
                <w:szCs w:val="24"/>
              </w:rPr>
              <w:t>Response</w:t>
            </w:r>
          </w:p>
        </w:tc>
        <w:tc>
          <w:tcPr>
            <w:tcW w:w="4252" w:type="dxa"/>
            <w:vAlign w:val="center"/>
          </w:tcPr>
          <w:p w14:paraId="47CB5B03" w14:textId="77777777" w:rsidR="00145A99" w:rsidRPr="00272FE3" w:rsidRDefault="00145A99" w:rsidP="0043523D">
            <w:pPr>
              <w:rPr>
                <w:rFonts w:ascii="Arial" w:hAnsi="Arial" w:cs="Arial"/>
                <w:b/>
                <w:bCs/>
              </w:rPr>
            </w:pPr>
            <w:r>
              <w:rPr>
                <w:rFonts w:ascii="Arial" w:hAnsi="Arial" w:cs="Arial"/>
                <w:b/>
                <w:bCs/>
              </w:rPr>
              <w:t xml:space="preserve">Greene’s Road LLP </w:t>
            </w:r>
          </w:p>
          <w:p w14:paraId="5F6F57F5" w14:textId="77777777" w:rsidR="00145A99" w:rsidRPr="004F5598" w:rsidRDefault="00145A99" w:rsidP="0043523D">
            <w:pPr>
              <w:rPr>
                <w:rFonts w:ascii="Arial" w:hAnsi="Arial" w:cs="Arial"/>
              </w:rPr>
            </w:pPr>
            <w:r>
              <w:rPr>
                <w:rFonts w:ascii="Arial" w:hAnsi="Arial" w:cs="Arial"/>
              </w:rPr>
              <w:t>LLP agreeing approach to 1</w:t>
            </w:r>
            <w:r w:rsidRPr="0043618A">
              <w:rPr>
                <w:rFonts w:ascii="Arial" w:hAnsi="Arial" w:cs="Arial"/>
                <w:vertAlign w:val="superscript"/>
              </w:rPr>
              <w:t>st</w:t>
            </w:r>
            <w:r>
              <w:rPr>
                <w:rFonts w:ascii="Arial" w:hAnsi="Arial" w:cs="Arial"/>
              </w:rPr>
              <w:t xml:space="preserve"> allocation on new build scheme </w:t>
            </w:r>
          </w:p>
        </w:tc>
      </w:tr>
      <w:tr w:rsidR="00145A99" w:rsidRPr="00B40C6E" w14:paraId="67C45A0A" w14:textId="77777777" w:rsidTr="00145A99">
        <w:trPr>
          <w:trHeight w:val="851"/>
        </w:trPr>
        <w:tc>
          <w:tcPr>
            <w:tcW w:w="846" w:type="dxa"/>
            <w:vMerge/>
            <w:shd w:val="clear" w:color="auto" w:fill="DAE9F7" w:themeFill="text2" w:themeFillTint="1A"/>
          </w:tcPr>
          <w:p w14:paraId="63208489" w14:textId="77777777" w:rsidR="00145A99" w:rsidRPr="00B40C6E" w:rsidRDefault="00145A99" w:rsidP="0043523D">
            <w:pPr>
              <w:spacing w:before="240"/>
              <w:jc w:val="center"/>
              <w:rPr>
                <w:rFonts w:ascii="Arial" w:hAnsi="Arial" w:cs="Arial"/>
                <w:b/>
              </w:rPr>
            </w:pPr>
          </w:p>
        </w:tc>
        <w:tc>
          <w:tcPr>
            <w:tcW w:w="3662" w:type="dxa"/>
          </w:tcPr>
          <w:p w14:paraId="71895C80" w14:textId="77777777" w:rsidR="00145A99" w:rsidRPr="0032405C" w:rsidRDefault="00145A99" w:rsidP="00145A99">
            <w:pPr>
              <w:pStyle w:val="ListParagraph"/>
              <w:numPr>
                <w:ilvl w:val="0"/>
                <w:numId w:val="11"/>
              </w:numPr>
              <w:ind w:left="357" w:hanging="357"/>
              <w:contextualSpacing/>
              <w:rPr>
                <w:rFonts w:ascii="Arial" w:hAnsi="Arial" w:cs="Arial"/>
                <w:b/>
              </w:rPr>
            </w:pPr>
            <w:r w:rsidRPr="0032405C">
              <w:rPr>
                <w:rFonts w:ascii="Arial" w:hAnsi="Arial" w:cs="Arial"/>
                <w:color w:val="04070F"/>
              </w:rPr>
              <w:t xml:space="preserve">What involvement </w:t>
            </w:r>
            <w:r w:rsidRPr="0032405C">
              <w:rPr>
                <w:rFonts w:ascii="Arial" w:hAnsi="Arial" w:cs="Arial"/>
                <w:color w:val="111723"/>
              </w:rPr>
              <w:t xml:space="preserve">and consultation </w:t>
            </w:r>
            <w:r w:rsidRPr="0032405C">
              <w:rPr>
                <w:rFonts w:ascii="Arial" w:hAnsi="Arial" w:cs="Arial"/>
                <w:color w:val="232E3F"/>
              </w:rPr>
              <w:t>h</w:t>
            </w:r>
            <w:r w:rsidRPr="0032405C">
              <w:rPr>
                <w:rFonts w:ascii="Arial" w:hAnsi="Arial" w:cs="Arial"/>
                <w:color w:val="111723"/>
              </w:rPr>
              <w:t xml:space="preserve">as been </w:t>
            </w:r>
            <w:r w:rsidRPr="0032405C">
              <w:rPr>
                <w:rFonts w:ascii="Arial" w:hAnsi="Arial" w:cs="Arial"/>
                <w:color w:val="04070F"/>
              </w:rPr>
              <w:t xml:space="preserve">carried out </w:t>
            </w:r>
            <w:r w:rsidRPr="0032405C">
              <w:rPr>
                <w:rFonts w:ascii="Arial" w:hAnsi="Arial" w:cs="Arial"/>
                <w:color w:val="111723"/>
              </w:rPr>
              <w:t xml:space="preserve">in relation </w:t>
            </w:r>
            <w:r w:rsidRPr="0032405C">
              <w:rPr>
                <w:rFonts w:ascii="Arial" w:hAnsi="Arial" w:cs="Arial"/>
                <w:color w:val="04070F"/>
              </w:rPr>
              <w:t xml:space="preserve">to </w:t>
            </w:r>
            <w:r w:rsidRPr="0032405C">
              <w:rPr>
                <w:rFonts w:ascii="Arial" w:hAnsi="Arial" w:cs="Arial"/>
                <w:color w:val="111723"/>
              </w:rPr>
              <w:t xml:space="preserve">this </w:t>
            </w:r>
            <w:r>
              <w:rPr>
                <w:rFonts w:ascii="Arial" w:hAnsi="Arial" w:cs="Arial"/>
                <w:color w:val="111723"/>
              </w:rPr>
              <w:t>document</w:t>
            </w:r>
            <w:r w:rsidRPr="0032405C">
              <w:rPr>
                <w:rFonts w:ascii="Arial" w:hAnsi="Arial" w:cs="Arial"/>
                <w:color w:val="111723"/>
              </w:rPr>
              <w:t>?</w:t>
            </w:r>
          </w:p>
        </w:tc>
        <w:tc>
          <w:tcPr>
            <w:tcW w:w="874" w:type="dxa"/>
            <w:vMerge/>
            <w:shd w:val="clear" w:color="auto" w:fill="DAE9F7" w:themeFill="text2" w:themeFillTint="1A"/>
          </w:tcPr>
          <w:p w14:paraId="3DAE8772" w14:textId="77777777" w:rsidR="00145A99" w:rsidRPr="00B40C6E" w:rsidRDefault="00145A99" w:rsidP="0043523D">
            <w:pPr>
              <w:spacing w:before="240"/>
              <w:rPr>
                <w:rFonts w:ascii="Arial" w:hAnsi="Arial" w:cs="Arial"/>
                <w:b/>
              </w:rPr>
            </w:pPr>
          </w:p>
        </w:tc>
        <w:tc>
          <w:tcPr>
            <w:tcW w:w="4252" w:type="dxa"/>
            <w:vAlign w:val="center"/>
          </w:tcPr>
          <w:p w14:paraId="6B8EFE72" w14:textId="77777777" w:rsidR="00145A99" w:rsidRPr="00074D0F" w:rsidRDefault="00145A99" w:rsidP="0043523D">
            <w:pPr>
              <w:rPr>
                <w:rFonts w:ascii="Arial" w:hAnsi="Arial" w:cs="Arial"/>
              </w:rPr>
            </w:pPr>
            <w:r>
              <w:rPr>
                <w:rFonts w:ascii="Arial" w:hAnsi="Arial" w:cs="Arial"/>
              </w:rPr>
              <w:t>Consultation has been carried out with Knowsley Metropolitan Borough Council, Onward Neighbourhood and Lettings Teams</w:t>
            </w:r>
          </w:p>
        </w:tc>
      </w:tr>
      <w:tr w:rsidR="00145A99" w:rsidRPr="00B40C6E" w14:paraId="7E3BD3C2" w14:textId="77777777" w:rsidTr="00145A99">
        <w:trPr>
          <w:trHeight w:val="760"/>
        </w:trPr>
        <w:tc>
          <w:tcPr>
            <w:tcW w:w="846" w:type="dxa"/>
            <w:vMerge/>
            <w:shd w:val="clear" w:color="auto" w:fill="DAE9F7" w:themeFill="text2" w:themeFillTint="1A"/>
          </w:tcPr>
          <w:p w14:paraId="72BF30EF" w14:textId="77777777" w:rsidR="00145A99" w:rsidRPr="00B40C6E" w:rsidRDefault="00145A99" w:rsidP="0043523D">
            <w:pPr>
              <w:spacing w:before="240"/>
              <w:jc w:val="center"/>
              <w:rPr>
                <w:rFonts w:ascii="Arial" w:hAnsi="Arial" w:cs="Arial"/>
                <w:b/>
              </w:rPr>
            </w:pPr>
          </w:p>
        </w:tc>
        <w:tc>
          <w:tcPr>
            <w:tcW w:w="3662" w:type="dxa"/>
          </w:tcPr>
          <w:p w14:paraId="2BC531F8" w14:textId="77777777" w:rsidR="00145A99" w:rsidRPr="0032405C" w:rsidRDefault="00145A99" w:rsidP="00145A99">
            <w:pPr>
              <w:pStyle w:val="ListParagraph"/>
              <w:numPr>
                <w:ilvl w:val="0"/>
                <w:numId w:val="11"/>
              </w:numPr>
              <w:ind w:left="357" w:hanging="357"/>
              <w:contextualSpacing/>
              <w:rPr>
                <w:rFonts w:ascii="Arial" w:hAnsi="Arial" w:cs="Arial"/>
                <w:b/>
              </w:rPr>
            </w:pPr>
            <w:r w:rsidRPr="0032405C">
              <w:rPr>
                <w:rFonts w:ascii="Arial" w:hAnsi="Arial" w:cs="Arial"/>
              </w:rPr>
              <w:t>Who does t</w:t>
            </w:r>
            <w:r>
              <w:rPr>
                <w:rFonts w:ascii="Arial" w:hAnsi="Arial" w:cs="Arial"/>
              </w:rPr>
              <w:t xml:space="preserve">his document affect? (i.e. employees / </w:t>
            </w:r>
            <w:r w:rsidRPr="0032405C">
              <w:rPr>
                <w:rFonts w:ascii="Arial" w:hAnsi="Arial" w:cs="Arial"/>
              </w:rPr>
              <w:t>residents)</w:t>
            </w:r>
          </w:p>
        </w:tc>
        <w:tc>
          <w:tcPr>
            <w:tcW w:w="874" w:type="dxa"/>
            <w:vMerge/>
            <w:shd w:val="clear" w:color="auto" w:fill="DAE9F7" w:themeFill="text2" w:themeFillTint="1A"/>
          </w:tcPr>
          <w:p w14:paraId="471AB55C" w14:textId="77777777" w:rsidR="00145A99" w:rsidRPr="00B40C6E" w:rsidRDefault="00145A99" w:rsidP="0043523D">
            <w:pPr>
              <w:spacing w:before="240"/>
              <w:rPr>
                <w:rFonts w:ascii="Arial" w:hAnsi="Arial" w:cs="Arial"/>
                <w:b/>
              </w:rPr>
            </w:pPr>
          </w:p>
        </w:tc>
        <w:tc>
          <w:tcPr>
            <w:tcW w:w="4252" w:type="dxa"/>
          </w:tcPr>
          <w:p w14:paraId="66AC6216" w14:textId="77777777" w:rsidR="00145A99" w:rsidRPr="00691BF6" w:rsidRDefault="00145A99" w:rsidP="0043523D">
            <w:pPr>
              <w:rPr>
                <w:rFonts w:ascii="Arial" w:hAnsi="Arial" w:cs="Arial"/>
              </w:rPr>
            </w:pPr>
            <w:r>
              <w:rPr>
                <w:rFonts w:ascii="Arial" w:hAnsi="Arial" w:cs="Arial"/>
              </w:rPr>
              <w:t xml:space="preserve">All Knowles Residents applying for a home at Greene’s Road </w:t>
            </w:r>
          </w:p>
        </w:tc>
      </w:tr>
      <w:tr w:rsidR="00145A99" w:rsidRPr="00B40C6E" w14:paraId="4D9A3E0D" w14:textId="77777777" w:rsidTr="00145A99">
        <w:trPr>
          <w:trHeight w:val="851"/>
        </w:trPr>
        <w:tc>
          <w:tcPr>
            <w:tcW w:w="846" w:type="dxa"/>
            <w:vMerge/>
            <w:shd w:val="clear" w:color="auto" w:fill="DAE9F7" w:themeFill="text2" w:themeFillTint="1A"/>
          </w:tcPr>
          <w:p w14:paraId="5837BDA6" w14:textId="77777777" w:rsidR="00145A99" w:rsidRPr="00B40C6E" w:rsidRDefault="00145A99" w:rsidP="0043523D">
            <w:pPr>
              <w:spacing w:before="240"/>
              <w:jc w:val="center"/>
              <w:rPr>
                <w:rFonts w:ascii="Arial" w:hAnsi="Arial" w:cs="Arial"/>
                <w:b/>
              </w:rPr>
            </w:pPr>
          </w:p>
        </w:tc>
        <w:tc>
          <w:tcPr>
            <w:tcW w:w="3662" w:type="dxa"/>
          </w:tcPr>
          <w:p w14:paraId="6D737307" w14:textId="77777777" w:rsidR="00145A99" w:rsidRPr="0032405C" w:rsidRDefault="00145A99" w:rsidP="00145A99">
            <w:pPr>
              <w:pStyle w:val="ListParagraph"/>
              <w:numPr>
                <w:ilvl w:val="0"/>
                <w:numId w:val="11"/>
              </w:numPr>
              <w:ind w:left="357" w:hanging="357"/>
              <w:contextualSpacing/>
              <w:rPr>
                <w:rFonts w:ascii="Arial" w:hAnsi="Arial" w:cs="Arial"/>
              </w:rPr>
            </w:pPr>
            <w:r w:rsidRPr="0032405C">
              <w:rPr>
                <w:rFonts w:ascii="Arial" w:hAnsi="Arial" w:cs="Arial"/>
              </w:rPr>
              <w:t>Any evidence</w:t>
            </w:r>
            <w:r w:rsidRPr="0032405C">
              <w:rPr>
                <w:rFonts w:ascii="Arial" w:hAnsi="Arial" w:cs="Arial"/>
                <w:b/>
              </w:rPr>
              <w:t xml:space="preserve"> </w:t>
            </w:r>
            <w:r>
              <w:rPr>
                <w:rFonts w:ascii="Arial" w:hAnsi="Arial" w:cs="Arial"/>
              </w:rPr>
              <w:t>used to support the EIA? (i</w:t>
            </w:r>
            <w:r w:rsidRPr="0032405C">
              <w:rPr>
                <w:rFonts w:ascii="Arial" w:hAnsi="Arial" w:cs="Arial"/>
              </w:rPr>
              <w:t>.e. national stats, in-house stats)</w:t>
            </w:r>
          </w:p>
        </w:tc>
        <w:tc>
          <w:tcPr>
            <w:tcW w:w="874" w:type="dxa"/>
            <w:vMerge/>
            <w:shd w:val="clear" w:color="auto" w:fill="DAE9F7" w:themeFill="text2" w:themeFillTint="1A"/>
          </w:tcPr>
          <w:p w14:paraId="0110B8B3" w14:textId="77777777" w:rsidR="00145A99" w:rsidRPr="00B40C6E" w:rsidRDefault="00145A99" w:rsidP="0043523D">
            <w:pPr>
              <w:spacing w:before="240"/>
              <w:rPr>
                <w:rFonts w:ascii="Arial" w:hAnsi="Arial" w:cs="Arial"/>
                <w:b/>
              </w:rPr>
            </w:pPr>
          </w:p>
        </w:tc>
        <w:tc>
          <w:tcPr>
            <w:tcW w:w="4252" w:type="dxa"/>
            <w:vAlign w:val="center"/>
          </w:tcPr>
          <w:p w14:paraId="798A66E4" w14:textId="77777777" w:rsidR="00145A99" w:rsidRPr="00623586" w:rsidRDefault="00145A99" w:rsidP="0043523D">
            <w:pPr>
              <w:rPr>
                <w:rFonts w:ascii="Arial" w:hAnsi="Arial" w:cs="Arial"/>
              </w:rPr>
            </w:pPr>
            <w:r>
              <w:rPr>
                <w:rFonts w:ascii="Arial" w:hAnsi="Arial" w:cs="Arial"/>
              </w:rPr>
              <w:t>Yes – detail contained in LLP</w:t>
            </w:r>
          </w:p>
        </w:tc>
      </w:tr>
    </w:tbl>
    <w:p w14:paraId="314B5C74" w14:textId="77777777" w:rsidR="00145A99" w:rsidRPr="00B40C6E" w:rsidRDefault="00145A99" w:rsidP="00145A99">
      <w:pPr>
        <w:rPr>
          <w:rFonts w:ascii="Arial" w:hAnsi="Arial" w:cs="Arial"/>
          <w:b/>
          <w:sz w:val="18"/>
          <w:szCs w:val="18"/>
        </w:rPr>
      </w:pPr>
    </w:p>
    <w:tbl>
      <w:tblPr>
        <w:tblStyle w:val="TableGrid"/>
        <w:tblW w:w="9634" w:type="dxa"/>
        <w:tblLook w:val="04A0" w:firstRow="1" w:lastRow="0" w:firstColumn="1" w:lastColumn="0" w:noHBand="0" w:noVBand="1"/>
      </w:tblPr>
      <w:tblGrid>
        <w:gridCol w:w="1517"/>
        <w:gridCol w:w="4491"/>
        <w:gridCol w:w="3626"/>
      </w:tblGrid>
      <w:tr w:rsidR="00145A99" w:rsidRPr="00B40C6E" w14:paraId="252FB32E" w14:textId="77777777" w:rsidTr="00145A99">
        <w:trPr>
          <w:trHeight w:val="900"/>
        </w:trPr>
        <w:tc>
          <w:tcPr>
            <w:tcW w:w="1413" w:type="dxa"/>
            <w:shd w:val="clear" w:color="auto" w:fill="DAE9F7" w:themeFill="text2" w:themeFillTint="1A"/>
          </w:tcPr>
          <w:p w14:paraId="33269EEA" w14:textId="77777777" w:rsidR="00145A99" w:rsidRPr="00B40C6E" w:rsidRDefault="00145A99" w:rsidP="0043523D">
            <w:pPr>
              <w:spacing w:before="240"/>
              <w:jc w:val="center"/>
              <w:rPr>
                <w:rFonts w:ascii="Arial" w:hAnsi="Arial" w:cs="Arial"/>
                <w:b/>
                <w:color w:val="501549" w:themeColor="accent5" w:themeShade="80"/>
              </w:rPr>
            </w:pPr>
            <w:r w:rsidRPr="00B40C6E">
              <w:rPr>
                <w:rFonts w:ascii="Arial" w:hAnsi="Arial" w:cs="Arial"/>
                <w:b/>
                <w:color w:val="501549" w:themeColor="accent5" w:themeShade="80"/>
                <w:lang w:val="en"/>
              </w:rPr>
              <w:t>Protected characteristic</w:t>
            </w:r>
          </w:p>
        </w:tc>
        <w:tc>
          <w:tcPr>
            <w:tcW w:w="8221" w:type="dxa"/>
            <w:gridSpan w:val="2"/>
            <w:shd w:val="clear" w:color="auto" w:fill="DAE9F7" w:themeFill="text2" w:themeFillTint="1A"/>
          </w:tcPr>
          <w:p w14:paraId="6BAB4980" w14:textId="77777777" w:rsidR="00145A99" w:rsidRPr="00B40C6E" w:rsidRDefault="00145A99" w:rsidP="0043523D">
            <w:pPr>
              <w:spacing w:before="240"/>
              <w:rPr>
                <w:rFonts w:ascii="Arial" w:hAnsi="Arial" w:cs="Arial"/>
                <w:b/>
                <w:color w:val="501549" w:themeColor="accent5" w:themeShade="80"/>
              </w:rPr>
            </w:pPr>
            <w:r w:rsidRPr="00B40C6E">
              <w:rPr>
                <w:rFonts w:ascii="Arial" w:hAnsi="Arial" w:cs="Arial"/>
                <w:b/>
                <w:color w:val="501549" w:themeColor="accent5" w:themeShade="80"/>
              </w:rPr>
              <w:t>Potential for positive or negative impact, and actions taken to mitigate impact and advance equality, diversity and inclusion</w:t>
            </w:r>
          </w:p>
        </w:tc>
      </w:tr>
      <w:tr w:rsidR="00145A99" w:rsidRPr="00B40C6E" w14:paraId="3FE0BCB6" w14:textId="77777777" w:rsidTr="00145A99">
        <w:trPr>
          <w:trHeight w:val="428"/>
        </w:trPr>
        <w:tc>
          <w:tcPr>
            <w:tcW w:w="1413" w:type="dxa"/>
            <w:vMerge w:val="restart"/>
            <w:shd w:val="clear" w:color="auto" w:fill="DAE9F7" w:themeFill="text2" w:themeFillTint="1A"/>
          </w:tcPr>
          <w:p w14:paraId="31F9B2F8" w14:textId="77777777" w:rsidR="00145A99" w:rsidRPr="00864F92" w:rsidRDefault="00145A99" w:rsidP="0043523D">
            <w:pPr>
              <w:spacing w:before="240"/>
              <w:jc w:val="center"/>
              <w:rPr>
                <w:rFonts w:ascii="Arial" w:hAnsi="Arial" w:cs="Arial"/>
                <w:b/>
                <w:color w:val="0A1D30" w:themeColor="text2" w:themeShade="BF"/>
              </w:rPr>
            </w:pPr>
            <w:bookmarkStart w:id="0" w:name="_Hlk77072939"/>
            <w:r w:rsidRPr="00864F92">
              <w:rPr>
                <w:rFonts w:ascii="Arial" w:hAnsi="Arial" w:cs="Arial"/>
                <w:b/>
                <w:color w:val="0A1D30" w:themeColor="text2" w:themeShade="BF"/>
                <w:lang w:val="en"/>
              </w:rPr>
              <w:t>Age</w:t>
            </w:r>
          </w:p>
        </w:tc>
        <w:tc>
          <w:tcPr>
            <w:tcW w:w="4555" w:type="dxa"/>
          </w:tcPr>
          <w:p w14:paraId="5353A3F7" w14:textId="77777777" w:rsidR="00145A99" w:rsidRPr="009306B9" w:rsidRDefault="00145A99" w:rsidP="0043523D">
            <w:pPr>
              <w:jc w:val="both"/>
              <w:rPr>
                <w:rFonts w:ascii="Arial" w:hAnsi="Arial" w:cs="Arial"/>
                <w:b/>
                <w:bCs/>
              </w:rPr>
            </w:pPr>
            <w:r w:rsidRPr="009306B9">
              <w:rPr>
                <w:rFonts w:ascii="Arial" w:hAnsi="Arial" w:cs="Arial"/>
                <w:b/>
                <w:bCs/>
              </w:rPr>
              <w:t>Positive</w:t>
            </w:r>
          </w:p>
          <w:p w14:paraId="4AC62CB2" w14:textId="77777777" w:rsidR="00145A99" w:rsidRPr="00B40C6E" w:rsidRDefault="00145A99" w:rsidP="0043523D">
            <w:pPr>
              <w:jc w:val="both"/>
              <w:rPr>
                <w:rFonts w:ascii="Arial" w:hAnsi="Arial" w:cs="Arial"/>
              </w:rPr>
            </w:pPr>
          </w:p>
        </w:tc>
        <w:tc>
          <w:tcPr>
            <w:tcW w:w="3666" w:type="dxa"/>
          </w:tcPr>
          <w:p w14:paraId="2FAD8D12" w14:textId="77777777" w:rsidR="00145A99" w:rsidRPr="009306B9" w:rsidRDefault="00145A99" w:rsidP="0043523D">
            <w:pPr>
              <w:jc w:val="both"/>
              <w:rPr>
                <w:rFonts w:ascii="Arial" w:hAnsi="Arial" w:cs="Arial"/>
                <w:b/>
                <w:bCs/>
              </w:rPr>
            </w:pPr>
            <w:r w:rsidRPr="42334202">
              <w:rPr>
                <w:rFonts w:ascii="Arial" w:hAnsi="Arial" w:cs="Arial"/>
                <w:b/>
                <w:bCs/>
              </w:rPr>
              <w:t>Negative</w:t>
            </w:r>
          </w:p>
          <w:p w14:paraId="3009AE4D" w14:textId="77777777" w:rsidR="00145A99" w:rsidRPr="00B40C6E" w:rsidRDefault="00145A99" w:rsidP="0043523D">
            <w:pPr>
              <w:jc w:val="both"/>
              <w:rPr>
                <w:rFonts w:ascii="Arial" w:hAnsi="Arial" w:cs="Arial"/>
              </w:rPr>
            </w:pPr>
            <w:r w:rsidRPr="42334202">
              <w:rPr>
                <w:rFonts w:ascii="Arial" w:hAnsi="Arial" w:cs="Arial"/>
              </w:rPr>
              <w:t>Use of technology in accessing and utilising online Choice Based Lettings Systems (CBL’s) may be a barrier for some elderly applicants.</w:t>
            </w:r>
          </w:p>
          <w:p w14:paraId="7E7093BD" w14:textId="77777777" w:rsidR="00145A99" w:rsidRPr="00B40C6E" w:rsidRDefault="00145A99" w:rsidP="0043523D">
            <w:pPr>
              <w:jc w:val="both"/>
              <w:rPr>
                <w:rFonts w:ascii="Arial" w:hAnsi="Arial" w:cs="Arial"/>
              </w:rPr>
            </w:pPr>
            <w:r w:rsidRPr="42334202">
              <w:rPr>
                <w:rFonts w:ascii="Arial" w:hAnsi="Arial" w:cs="Arial"/>
              </w:rPr>
              <w:t xml:space="preserve">Preference to applicants in employment may have an indirect negative impact on elderly applicants </w:t>
            </w:r>
          </w:p>
        </w:tc>
      </w:tr>
      <w:tr w:rsidR="00145A99" w:rsidRPr="00B40C6E" w14:paraId="3FEB186B" w14:textId="77777777" w:rsidTr="00145A99">
        <w:trPr>
          <w:trHeight w:val="427"/>
        </w:trPr>
        <w:tc>
          <w:tcPr>
            <w:tcW w:w="1413" w:type="dxa"/>
            <w:vMerge/>
            <w:shd w:val="clear" w:color="auto" w:fill="DAE9F7" w:themeFill="text2" w:themeFillTint="1A"/>
          </w:tcPr>
          <w:p w14:paraId="2BB4601E" w14:textId="77777777" w:rsidR="00145A99" w:rsidRPr="00864F92" w:rsidRDefault="00145A99" w:rsidP="0043523D">
            <w:pPr>
              <w:spacing w:before="240"/>
              <w:jc w:val="center"/>
              <w:rPr>
                <w:rFonts w:ascii="Arial" w:hAnsi="Arial" w:cs="Arial"/>
                <w:b/>
                <w:color w:val="0A1D30" w:themeColor="text2" w:themeShade="BF"/>
                <w:lang w:val="en"/>
              </w:rPr>
            </w:pPr>
          </w:p>
        </w:tc>
        <w:tc>
          <w:tcPr>
            <w:tcW w:w="8221" w:type="dxa"/>
            <w:gridSpan w:val="2"/>
          </w:tcPr>
          <w:p w14:paraId="41D83C1C" w14:textId="77777777" w:rsidR="00145A99" w:rsidRPr="00D526D0" w:rsidRDefault="00145A99" w:rsidP="0043523D">
            <w:pPr>
              <w:jc w:val="both"/>
              <w:rPr>
                <w:rFonts w:ascii="Arial" w:hAnsi="Arial" w:cs="Arial"/>
                <w:b/>
                <w:bCs/>
              </w:rPr>
            </w:pPr>
            <w:r w:rsidRPr="00D526D0">
              <w:rPr>
                <w:rFonts w:ascii="Arial" w:hAnsi="Arial" w:cs="Arial"/>
                <w:b/>
                <w:bCs/>
              </w:rPr>
              <w:t xml:space="preserve">Actions to Mitigate Impact </w:t>
            </w:r>
          </w:p>
          <w:p w14:paraId="1F86D684" w14:textId="77777777" w:rsidR="00145A99" w:rsidRPr="00B40C6E" w:rsidRDefault="00145A99" w:rsidP="0043523D">
            <w:pPr>
              <w:jc w:val="both"/>
              <w:rPr>
                <w:rFonts w:ascii="Arial" w:hAnsi="Arial" w:cs="Arial"/>
              </w:rPr>
            </w:pPr>
            <w:r w:rsidRPr="72BB30B8">
              <w:rPr>
                <w:rFonts w:ascii="Arial" w:hAnsi="Arial" w:cs="Arial"/>
              </w:rPr>
              <w:t>Support will be offered to those customers unable to register online. Automated bidding may be available for some CBL’s.</w:t>
            </w:r>
          </w:p>
          <w:p w14:paraId="12E03F5A" w14:textId="77777777" w:rsidR="00145A99" w:rsidRPr="00B40C6E" w:rsidRDefault="00145A99" w:rsidP="0043523D">
            <w:pPr>
              <w:jc w:val="both"/>
              <w:rPr>
                <w:rFonts w:ascii="Arial" w:hAnsi="Arial" w:cs="Arial"/>
              </w:rPr>
            </w:pPr>
            <w:r w:rsidRPr="72BB30B8">
              <w:rPr>
                <w:rFonts w:ascii="Arial" w:hAnsi="Arial" w:cs="Arial"/>
              </w:rPr>
              <w:t>Preference to employment has been set at 3</w:t>
            </w:r>
            <w:r>
              <w:rPr>
                <w:rFonts w:ascii="Arial" w:hAnsi="Arial" w:cs="Arial"/>
              </w:rPr>
              <w:t>2</w:t>
            </w:r>
            <w:r w:rsidRPr="72BB30B8">
              <w:rPr>
                <w:rFonts w:ascii="Arial" w:hAnsi="Arial" w:cs="Arial"/>
              </w:rPr>
              <w:t xml:space="preserve">% to reflect the employment rates of the community demographic. This is proportionate to the number of active applicants on Knowsley’s housing register that are in employment, however it is expected that the number of Knowsley residents is slightly higher as applicants are not required to provide this information, there are still </w:t>
            </w:r>
            <w:r>
              <w:rPr>
                <w:rFonts w:ascii="Arial" w:hAnsi="Arial" w:cs="Arial"/>
              </w:rPr>
              <w:t>68</w:t>
            </w:r>
            <w:r w:rsidRPr="72BB30B8">
              <w:rPr>
                <w:rFonts w:ascii="Arial" w:hAnsi="Arial" w:cs="Arial"/>
              </w:rPr>
              <w:t xml:space="preserve">% of properties for applicants who are not in employment can be considered for. </w:t>
            </w:r>
          </w:p>
        </w:tc>
      </w:tr>
      <w:bookmarkEnd w:id="0"/>
      <w:tr w:rsidR="00145A99" w:rsidRPr="00B40C6E" w14:paraId="3B8BF9C5" w14:textId="77777777" w:rsidTr="00145A99">
        <w:trPr>
          <w:trHeight w:val="428"/>
        </w:trPr>
        <w:tc>
          <w:tcPr>
            <w:tcW w:w="1413" w:type="dxa"/>
            <w:vMerge w:val="restart"/>
            <w:shd w:val="clear" w:color="auto" w:fill="DAE9F7" w:themeFill="text2" w:themeFillTint="1A"/>
          </w:tcPr>
          <w:p w14:paraId="3914879B" w14:textId="77777777" w:rsidR="00145A99" w:rsidRPr="00864F92" w:rsidRDefault="00145A99" w:rsidP="0043523D">
            <w:pPr>
              <w:rPr>
                <w:rFonts w:ascii="Arial" w:hAnsi="Arial" w:cs="Arial"/>
                <w:b/>
                <w:color w:val="0A1D30" w:themeColor="text2" w:themeShade="BF"/>
              </w:rPr>
            </w:pPr>
            <w:r w:rsidRPr="00864F92">
              <w:rPr>
                <w:rFonts w:ascii="Arial" w:hAnsi="Arial" w:cs="Arial"/>
                <w:b/>
                <w:color w:val="0A1D30" w:themeColor="text2" w:themeShade="BF"/>
              </w:rPr>
              <w:t>Disability</w:t>
            </w:r>
          </w:p>
          <w:p w14:paraId="63A30AC4" w14:textId="77777777" w:rsidR="00145A99" w:rsidRPr="00864F92" w:rsidRDefault="00145A99" w:rsidP="0043523D">
            <w:pPr>
              <w:spacing w:before="240"/>
              <w:jc w:val="center"/>
              <w:rPr>
                <w:rFonts w:ascii="Arial" w:hAnsi="Arial" w:cs="Arial"/>
                <w:b/>
                <w:color w:val="0A1D30" w:themeColor="text2" w:themeShade="BF"/>
              </w:rPr>
            </w:pPr>
          </w:p>
        </w:tc>
        <w:tc>
          <w:tcPr>
            <w:tcW w:w="4555" w:type="dxa"/>
          </w:tcPr>
          <w:p w14:paraId="00E0E9A8" w14:textId="77777777" w:rsidR="00145A99" w:rsidRPr="00D526D0" w:rsidRDefault="00145A99" w:rsidP="0043523D">
            <w:pPr>
              <w:jc w:val="both"/>
              <w:rPr>
                <w:rFonts w:ascii="Arial" w:hAnsi="Arial" w:cs="Arial"/>
                <w:b/>
                <w:bCs/>
              </w:rPr>
            </w:pPr>
            <w:r w:rsidRPr="00D526D0">
              <w:rPr>
                <w:rFonts w:ascii="Arial" w:hAnsi="Arial" w:cs="Arial"/>
                <w:b/>
                <w:bCs/>
              </w:rPr>
              <w:t>Positive</w:t>
            </w:r>
          </w:p>
          <w:p w14:paraId="4F708D73" w14:textId="77777777" w:rsidR="00145A99" w:rsidRPr="00B40C6E" w:rsidRDefault="00145A99" w:rsidP="0043523D">
            <w:pPr>
              <w:jc w:val="both"/>
              <w:rPr>
                <w:rFonts w:ascii="Arial" w:hAnsi="Arial" w:cs="Arial"/>
              </w:rPr>
            </w:pPr>
          </w:p>
        </w:tc>
        <w:tc>
          <w:tcPr>
            <w:tcW w:w="3666" w:type="dxa"/>
          </w:tcPr>
          <w:p w14:paraId="2BEF5031" w14:textId="77777777" w:rsidR="00145A99" w:rsidRPr="00D526D0" w:rsidRDefault="00145A99" w:rsidP="0043523D">
            <w:pPr>
              <w:jc w:val="both"/>
              <w:rPr>
                <w:rFonts w:ascii="Arial" w:hAnsi="Arial" w:cs="Arial"/>
                <w:b/>
                <w:bCs/>
              </w:rPr>
            </w:pPr>
            <w:r w:rsidRPr="623145F4">
              <w:rPr>
                <w:rFonts w:ascii="Arial" w:hAnsi="Arial" w:cs="Arial"/>
                <w:b/>
                <w:bCs/>
              </w:rPr>
              <w:t>Negative</w:t>
            </w:r>
          </w:p>
          <w:p w14:paraId="16E43DD2" w14:textId="77777777" w:rsidR="00145A99" w:rsidRDefault="00145A99" w:rsidP="0043523D">
            <w:pPr>
              <w:jc w:val="both"/>
              <w:rPr>
                <w:rFonts w:ascii="Arial" w:hAnsi="Arial" w:cs="Arial"/>
              </w:rPr>
            </w:pPr>
            <w:r w:rsidRPr="42334202">
              <w:rPr>
                <w:rFonts w:ascii="Arial" w:hAnsi="Arial" w:cs="Arial"/>
              </w:rPr>
              <w:t>Use of technology in accessing and utilising online Choice Based Lettings Systems (CBL’s) may be a barrier for some applicants.</w:t>
            </w:r>
          </w:p>
          <w:p w14:paraId="4D2468D8" w14:textId="77777777" w:rsidR="00145A99" w:rsidRPr="00B40C6E" w:rsidRDefault="00145A99" w:rsidP="0043523D">
            <w:pPr>
              <w:jc w:val="both"/>
              <w:rPr>
                <w:rFonts w:ascii="Arial" w:hAnsi="Arial" w:cs="Arial"/>
              </w:rPr>
            </w:pPr>
          </w:p>
          <w:p w14:paraId="08D71238" w14:textId="77777777" w:rsidR="00145A99" w:rsidRPr="00B40C6E" w:rsidRDefault="00145A99" w:rsidP="0043523D">
            <w:pPr>
              <w:jc w:val="both"/>
              <w:rPr>
                <w:rFonts w:ascii="Arial" w:hAnsi="Arial" w:cs="Arial"/>
              </w:rPr>
            </w:pPr>
            <w:r w:rsidRPr="42334202">
              <w:rPr>
                <w:rFonts w:ascii="Arial" w:hAnsi="Arial" w:cs="Arial"/>
              </w:rPr>
              <w:t>Preference to applicants in employment may have an indirect negative impact on disabled applicants.</w:t>
            </w:r>
          </w:p>
          <w:p w14:paraId="3DE2A976" w14:textId="77777777" w:rsidR="00145A99" w:rsidRPr="00B40C6E" w:rsidRDefault="00145A99" w:rsidP="0043523D">
            <w:pPr>
              <w:jc w:val="both"/>
              <w:rPr>
                <w:rFonts w:ascii="Arial" w:hAnsi="Arial" w:cs="Arial"/>
              </w:rPr>
            </w:pPr>
          </w:p>
        </w:tc>
      </w:tr>
      <w:tr w:rsidR="00145A99" w:rsidRPr="00B40C6E" w14:paraId="50B627CA" w14:textId="77777777" w:rsidTr="00145A99">
        <w:trPr>
          <w:trHeight w:val="427"/>
        </w:trPr>
        <w:tc>
          <w:tcPr>
            <w:tcW w:w="1413" w:type="dxa"/>
            <w:vMerge/>
            <w:shd w:val="clear" w:color="auto" w:fill="DAE9F7" w:themeFill="text2" w:themeFillTint="1A"/>
          </w:tcPr>
          <w:p w14:paraId="03F9D59C" w14:textId="77777777" w:rsidR="00145A99" w:rsidRPr="00864F92" w:rsidRDefault="00145A99" w:rsidP="0043523D">
            <w:pPr>
              <w:spacing w:before="240"/>
              <w:jc w:val="center"/>
              <w:rPr>
                <w:rFonts w:ascii="Arial" w:hAnsi="Arial" w:cs="Arial"/>
                <w:b/>
                <w:color w:val="0A1D30" w:themeColor="text2" w:themeShade="BF"/>
                <w:lang w:val="en"/>
              </w:rPr>
            </w:pPr>
          </w:p>
        </w:tc>
        <w:tc>
          <w:tcPr>
            <w:tcW w:w="8221" w:type="dxa"/>
            <w:gridSpan w:val="2"/>
          </w:tcPr>
          <w:p w14:paraId="22846963" w14:textId="77777777" w:rsidR="00145A99" w:rsidRPr="00D526D0" w:rsidRDefault="00145A99" w:rsidP="0043523D">
            <w:pPr>
              <w:jc w:val="both"/>
              <w:rPr>
                <w:rFonts w:ascii="Arial" w:hAnsi="Arial" w:cs="Arial"/>
                <w:b/>
                <w:bCs/>
              </w:rPr>
            </w:pPr>
            <w:r w:rsidRPr="00D526D0">
              <w:rPr>
                <w:rFonts w:ascii="Arial" w:hAnsi="Arial" w:cs="Arial"/>
                <w:b/>
                <w:bCs/>
              </w:rPr>
              <w:t xml:space="preserve">Actions to Mitigate Impact </w:t>
            </w:r>
          </w:p>
          <w:p w14:paraId="4CCBB8C8" w14:textId="77777777" w:rsidR="00145A99" w:rsidRDefault="00145A99" w:rsidP="0043523D">
            <w:pPr>
              <w:jc w:val="both"/>
              <w:rPr>
                <w:rFonts w:ascii="Arial" w:hAnsi="Arial" w:cs="Arial"/>
              </w:rPr>
            </w:pPr>
            <w:r w:rsidRPr="42334202">
              <w:rPr>
                <w:rFonts w:ascii="Arial" w:hAnsi="Arial" w:cs="Arial"/>
              </w:rPr>
              <w:t xml:space="preserve">Support will be offered to those customers unable to register online. Automated bidding may be available for some </w:t>
            </w:r>
            <w:r>
              <w:rPr>
                <w:rFonts w:ascii="Arial" w:hAnsi="Arial" w:cs="Arial"/>
              </w:rPr>
              <w:t xml:space="preserve">applicants. Assistive technology is not currently available on the Property Pool Plus website but the Property Pool Plus team are available to contact 5 days a week and can help talk applicants through the website and bidding process. </w:t>
            </w:r>
          </w:p>
          <w:p w14:paraId="3E7CA4E0" w14:textId="77777777" w:rsidR="00145A99" w:rsidRPr="00B40C6E" w:rsidRDefault="00145A99" w:rsidP="0043523D">
            <w:pPr>
              <w:jc w:val="both"/>
              <w:rPr>
                <w:rFonts w:ascii="Arial" w:hAnsi="Arial" w:cs="Arial"/>
              </w:rPr>
            </w:pPr>
          </w:p>
          <w:p w14:paraId="4ECE0582" w14:textId="77777777" w:rsidR="00145A99" w:rsidRPr="00B40C6E" w:rsidRDefault="00145A99" w:rsidP="0043523D">
            <w:pPr>
              <w:jc w:val="both"/>
              <w:rPr>
                <w:rFonts w:ascii="Arial" w:hAnsi="Arial" w:cs="Arial"/>
              </w:rPr>
            </w:pPr>
            <w:r w:rsidRPr="72BB30B8">
              <w:rPr>
                <w:rFonts w:ascii="Arial" w:hAnsi="Arial" w:cs="Arial"/>
              </w:rPr>
              <w:t>Preference to employment has been set at 3</w:t>
            </w:r>
            <w:r>
              <w:rPr>
                <w:rFonts w:ascii="Arial" w:hAnsi="Arial" w:cs="Arial"/>
              </w:rPr>
              <w:t>2</w:t>
            </w:r>
            <w:r w:rsidRPr="72BB30B8">
              <w:rPr>
                <w:rFonts w:ascii="Arial" w:hAnsi="Arial" w:cs="Arial"/>
              </w:rPr>
              <w:t xml:space="preserve">% to reflect the employment rates of the community demographic. This is proportionate to the number of active applicants on Knowsley’s housing register that are in employment, however it is expected that the number of Knowsley residents is slightly higher as applicants are not required to provide this information, there are still </w:t>
            </w:r>
            <w:r>
              <w:rPr>
                <w:rFonts w:ascii="Arial" w:hAnsi="Arial" w:cs="Arial"/>
              </w:rPr>
              <w:t>68</w:t>
            </w:r>
            <w:r w:rsidRPr="72BB30B8">
              <w:rPr>
                <w:rFonts w:ascii="Arial" w:hAnsi="Arial" w:cs="Arial"/>
              </w:rPr>
              <w:t xml:space="preserve">% of properties for applicants who are not in employment can be considered for. </w:t>
            </w:r>
          </w:p>
        </w:tc>
      </w:tr>
      <w:tr w:rsidR="00145A99" w:rsidRPr="00B40C6E" w14:paraId="5BF8B28A" w14:textId="77777777" w:rsidTr="00145A99">
        <w:trPr>
          <w:trHeight w:val="428"/>
        </w:trPr>
        <w:tc>
          <w:tcPr>
            <w:tcW w:w="1413" w:type="dxa"/>
            <w:vMerge w:val="restart"/>
            <w:shd w:val="clear" w:color="auto" w:fill="DAE9F7" w:themeFill="text2" w:themeFillTint="1A"/>
          </w:tcPr>
          <w:p w14:paraId="772148DF" w14:textId="77777777" w:rsidR="00145A99" w:rsidRPr="00864F92" w:rsidRDefault="00145A99" w:rsidP="0043523D">
            <w:pPr>
              <w:rPr>
                <w:rFonts w:ascii="Arial" w:hAnsi="Arial" w:cs="Arial"/>
                <w:b/>
                <w:color w:val="0A1D30" w:themeColor="text2" w:themeShade="BF"/>
              </w:rPr>
            </w:pPr>
            <w:r w:rsidRPr="00864F92">
              <w:rPr>
                <w:rFonts w:ascii="Arial" w:hAnsi="Arial" w:cs="Arial"/>
                <w:b/>
                <w:color w:val="0A1D30" w:themeColor="text2" w:themeShade="BF"/>
              </w:rPr>
              <w:t>Race</w:t>
            </w:r>
          </w:p>
          <w:p w14:paraId="52F580B5" w14:textId="77777777" w:rsidR="00145A99" w:rsidRPr="00864F92" w:rsidRDefault="00145A99" w:rsidP="0043523D">
            <w:pPr>
              <w:spacing w:before="240"/>
              <w:jc w:val="center"/>
              <w:rPr>
                <w:rFonts w:ascii="Arial" w:hAnsi="Arial" w:cs="Arial"/>
                <w:b/>
                <w:color w:val="0A1D30" w:themeColor="text2" w:themeShade="BF"/>
              </w:rPr>
            </w:pPr>
          </w:p>
        </w:tc>
        <w:tc>
          <w:tcPr>
            <w:tcW w:w="4555" w:type="dxa"/>
          </w:tcPr>
          <w:p w14:paraId="2F577699" w14:textId="77777777" w:rsidR="00145A99" w:rsidRPr="00DA0C6C" w:rsidRDefault="00145A99" w:rsidP="0043523D">
            <w:pPr>
              <w:jc w:val="both"/>
              <w:rPr>
                <w:rFonts w:ascii="Arial" w:hAnsi="Arial" w:cs="Arial"/>
                <w:b/>
                <w:bCs/>
              </w:rPr>
            </w:pPr>
            <w:r w:rsidRPr="00DA0C6C">
              <w:rPr>
                <w:rFonts w:ascii="Arial" w:hAnsi="Arial" w:cs="Arial"/>
                <w:b/>
                <w:bCs/>
              </w:rPr>
              <w:t>Positive</w:t>
            </w:r>
          </w:p>
          <w:p w14:paraId="496D9310" w14:textId="77777777" w:rsidR="00145A99" w:rsidRPr="00B40C6E" w:rsidRDefault="00145A99" w:rsidP="0043523D">
            <w:pPr>
              <w:jc w:val="both"/>
              <w:rPr>
                <w:rFonts w:ascii="Arial" w:hAnsi="Arial" w:cs="Arial"/>
              </w:rPr>
            </w:pPr>
          </w:p>
        </w:tc>
        <w:tc>
          <w:tcPr>
            <w:tcW w:w="3666" w:type="dxa"/>
          </w:tcPr>
          <w:p w14:paraId="0BAFB198" w14:textId="77777777" w:rsidR="00145A99" w:rsidRPr="00DA0C6C" w:rsidRDefault="00145A99" w:rsidP="0043523D">
            <w:pPr>
              <w:jc w:val="both"/>
              <w:rPr>
                <w:rFonts w:ascii="Arial" w:hAnsi="Arial" w:cs="Arial"/>
                <w:b/>
                <w:bCs/>
              </w:rPr>
            </w:pPr>
            <w:r w:rsidRPr="00DA0C6C">
              <w:rPr>
                <w:rFonts w:ascii="Arial" w:hAnsi="Arial" w:cs="Arial"/>
                <w:b/>
                <w:bCs/>
              </w:rPr>
              <w:t>Negative</w:t>
            </w:r>
          </w:p>
          <w:p w14:paraId="6E3CD375" w14:textId="77777777" w:rsidR="00145A99" w:rsidRDefault="00145A99" w:rsidP="0043523D">
            <w:pPr>
              <w:jc w:val="both"/>
              <w:rPr>
                <w:rFonts w:ascii="Arial" w:hAnsi="Arial" w:cs="Arial"/>
              </w:rPr>
            </w:pPr>
          </w:p>
          <w:p w14:paraId="2E891508" w14:textId="77777777" w:rsidR="00145A99" w:rsidRPr="00B40C6E" w:rsidRDefault="00145A99" w:rsidP="0043523D">
            <w:pPr>
              <w:jc w:val="both"/>
              <w:rPr>
                <w:rFonts w:ascii="Arial" w:hAnsi="Arial" w:cs="Arial"/>
              </w:rPr>
            </w:pPr>
            <w:r>
              <w:rPr>
                <w:rFonts w:ascii="Arial" w:hAnsi="Arial" w:cs="Arial"/>
              </w:rPr>
              <w:t xml:space="preserve">Applicants or customers whereby English is not their first language may have some difficulty in understanding the contents of the website (and this LLP) which may impact their decision to bid on a property. </w:t>
            </w:r>
          </w:p>
        </w:tc>
      </w:tr>
      <w:tr w:rsidR="00145A99" w:rsidRPr="00B40C6E" w14:paraId="74FE8A0F" w14:textId="77777777" w:rsidTr="00145A99">
        <w:trPr>
          <w:trHeight w:val="427"/>
        </w:trPr>
        <w:tc>
          <w:tcPr>
            <w:tcW w:w="1413" w:type="dxa"/>
            <w:vMerge/>
            <w:shd w:val="clear" w:color="auto" w:fill="DAE9F7" w:themeFill="text2" w:themeFillTint="1A"/>
          </w:tcPr>
          <w:p w14:paraId="6EE641C7" w14:textId="77777777" w:rsidR="00145A99" w:rsidRPr="00864F92" w:rsidRDefault="00145A99" w:rsidP="0043523D">
            <w:pPr>
              <w:spacing w:before="240"/>
              <w:jc w:val="center"/>
              <w:rPr>
                <w:rFonts w:ascii="Arial" w:hAnsi="Arial" w:cs="Arial"/>
                <w:b/>
                <w:color w:val="0A1D30" w:themeColor="text2" w:themeShade="BF"/>
                <w:lang w:val="en"/>
              </w:rPr>
            </w:pPr>
          </w:p>
        </w:tc>
        <w:tc>
          <w:tcPr>
            <w:tcW w:w="8221" w:type="dxa"/>
            <w:gridSpan w:val="2"/>
          </w:tcPr>
          <w:p w14:paraId="127673D8" w14:textId="77777777" w:rsidR="00145A99" w:rsidRPr="00DA0C6C" w:rsidRDefault="00145A99" w:rsidP="0043523D">
            <w:pPr>
              <w:jc w:val="both"/>
              <w:rPr>
                <w:rFonts w:ascii="Arial" w:hAnsi="Arial" w:cs="Arial"/>
                <w:b/>
                <w:bCs/>
              </w:rPr>
            </w:pPr>
            <w:r w:rsidRPr="5C2563A8">
              <w:rPr>
                <w:rFonts w:ascii="Arial" w:hAnsi="Arial" w:cs="Arial"/>
                <w:b/>
                <w:bCs/>
              </w:rPr>
              <w:t xml:space="preserve">Actions to Mitigate Impact </w:t>
            </w:r>
          </w:p>
          <w:p w14:paraId="6546E561" w14:textId="77777777" w:rsidR="00145A99" w:rsidRDefault="00145A99" w:rsidP="0043523D">
            <w:pPr>
              <w:jc w:val="both"/>
              <w:rPr>
                <w:rFonts w:ascii="Arial" w:hAnsi="Arial" w:cs="Arial"/>
              </w:rPr>
            </w:pPr>
          </w:p>
          <w:p w14:paraId="40D636BB" w14:textId="2926CA98" w:rsidR="00145A99" w:rsidRPr="00B40C6E" w:rsidRDefault="00145A99" w:rsidP="0043523D">
            <w:pPr>
              <w:jc w:val="both"/>
              <w:rPr>
                <w:rFonts w:ascii="Arial" w:hAnsi="Arial" w:cs="Arial"/>
              </w:rPr>
            </w:pPr>
            <w:r>
              <w:rPr>
                <w:rFonts w:ascii="Arial" w:hAnsi="Arial" w:cs="Arial"/>
              </w:rPr>
              <w:t xml:space="preserve">Applicants or customers are able to translate the language used on the website or this LLP via google translate. </w:t>
            </w:r>
          </w:p>
        </w:tc>
      </w:tr>
      <w:tr w:rsidR="00145A99" w:rsidRPr="00B40C6E" w14:paraId="43C85278" w14:textId="77777777" w:rsidTr="00145A99">
        <w:trPr>
          <w:trHeight w:val="428"/>
        </w:trPr>
        <w:tc>
          <w:tcPr>
            <w:tcW w:w="1413" w:type="dxa"/>
            <w:vMerge w:val="restart"/>
            <w:shd w:val="clear" w:color="auto" w:fill="DAE9F7" w:themeFill="text2" w:themeFillTint="1A"/>
          </w:tcPr>
          <w:p w14:paraId="64035164" w14:textId="77777777" w:rsidR="00145A99" w:rsidRPr="00864F92" w:rsidRDefault="00145A99" w:rsidP="0043523D">
            <w:pPr>
              <w:rPr>
                <w:rFonts w:ascii="Arial" w:hAnsi="Arial" w:cs="Arial"/>
                <w:b/>
                <w:color w:val="0A1D30" w:themeColor="text2" w:themeShade="BF"/>
              </w:rPr>
            </w:pPr>
            <w:r w:rsidRPr="00864F92">
              <w:rPr>
                <w:rFonts w:ascii="Arial" w:hAnsi="Arial" w:cs="Arial"/>
                <w:b/>
                <w:color w:val="0A1D30" w:themeColor="text2" w:themeShade="BF"/>
              </w:rPr>
              <w:t>Religion or belief</w:t>
            </w:r>
          </w:p>
          <w:p w14:paraId="6E56518D" w14:textId="77777777" w:rsidR="00145A99" w:rsidRPr="00864F92" w:rsidRDefault="00145A99" w:rsidP="0043523D">
            <w:pPr>
              <w:spacing w:before="240"/>
              <w:jc w:val="center"/>
              <w:rPr>
                <w:rFonts w:ascii="Arial" w:hAnsi="Arial" w:cs="Arial"/>
                <w:b/>
                <w:color w:val="0A1D30" w:themeColor="text2" w:themeShade="BF"/>
              </w:rPr>
            </w:pPr>
          </w:p>
        </w:tc>
        <w:tc>
          <w:tcPr>
            <w:tcW w:w="4555" w:type="dxa"/>
          </w:tcPr>
          <w:p w14:paraId="00838177" w14:textId="77777777" w:rsidR="00145A99" w:rsidRPr="00CE35F4" w:rsidRDefault="00145A99" w:rsidP="0043523D">
            <w:pPr>
              <w:jc w:val="both"/>
              <w:rPr>
                <w:rFonts w:ascii="Arial" w:hAnsi="Arial" w:cs="Arial"/>
                <w:b/>
                <w:bCs/>
              </w:rPr>
            </w:pPr>
            <w:r w:rsidRPr="00CE35F4">
              <w:rPr>
                <w:rFonts w:ascii="Arial" w:hAnsi="Arial" w:cs="Arial"/>
                <w:b/>
                <w:bCs/>
              </w:rPr>
              <w:t>Positive</w:t>
            </w:r>
          </w:p>
          <w:p w14:paraId="500A73CB" w14:textId="77777777" w:rsidR="00145A99" w:rsidRPr="00B40C6E" w:rsidRDefault="00145A99" w:rsidP="0043523D">
            <w:pPr>
              <w:jc w:val="both"/>
              <w:rPr>
                <w:rFonts w:ascii="Arial" w:hAnsi="Arial" w:cs="Arial"/>
              </w:rPr>
            </w:pPr>
          </w:p>
        </w:tc>
        <w:tc>
          <w:tcPr>
            <w:tcW w:w="3666" w:type="dxa"/>
          </w:tcPr>
          <w:p w14:paraId="3C090A1D" w14:textId="77777777" w:rsidR="00145A99" w:rsidRPr="00CE35F4" w:rsidRDefault="00145A99" w:rsidP="0043523D">
            <w:pPr>
              <w:jc w:val="both"/>
              <w:rPr>
                <w:rFonts w:ascii="Arial" w:hAnsi="Arial" w:cs="Arial"/>
                <w:b/>
                <w:bCs/>
              </w:rPr>
            </w:pPr>
            <w:r w:rsidRPr="00CE35F4">
              <w:rPr>
                <w:rFonts w:ascii="Arial" w:hAnsi="Arial" w:cs="Arial"/>
                <w:b/>
                <w:bCs/>
              </w:rPr>
              <w:t>Negative</w:t>
            </w:r>
          </w:p>
          <w:p w14:paraId="41D5D7E5" w14:textId="77777777" w:rsidR="00145A99" w:rsidRPr="00B40C6E" w:rsidRDefault="00145A99" w:rsidP="0043523D">
            <w:pPr>
              <w:jc w:val="both"/>
              <w:rPr>
                <w:rFonts w:ascii="Arial" w:hAnsi="Arial" w:cs="Arial"/>
              </w:rPr>
            </w:pPr>
            <w:r>
              <w:rPr>
                <w:rFonts w:ascii="Arial" w:hAnsi="Arial" w:cs="Arial"/>
              </w:rPr>
              <w:t>None</w:t>
            </w:r>
          </w:p>
        </w:tc>
      </w:tr>
      <w:tr w:rsidR="00145A99" w:rsidRPr="00B40C6E" w14:paraId="5C513A5A" w14:textId="77777777" w:rsidTr="00145A99">
        <w:trPr>
          <w:trHeight w:val="427"/>
        </w:trPr>
        <w:tc>
          <w:tcPr>
            <w:tcW w:w="1413" w:type="dxa"/>
            <w:vMerge/>
            <w:shd w:val="clear" w:color="auto" w:fill="DAE9F7" w:themeFill="text2" w:themeFillTint="1A"/>
          </w:tcPr>
          <w:p w14:paraId="77109D1B" w14:textId="77777777" w:rsidR="00145A99" w:rsidRPr="00864F92" w:rsidRDefault="00145A99" w:rsidP="0043523D">
            <w:pPr>
              <w:spacing w:before="240"/>
              <w:jc w:val="center"/>
              <w:rPr>
                <w:rFonts w:ascii="Arial" w:hAnsi="Arial" w:cs="Arial"/>
                <w:b/>
                <w:bCs/>
                <w:color w:val="0A1D30" w:themeColor="text2" w:themeShade="BF"/>
                <w:lang w:val="en"/>
              </w:rPr>
            </w:pPr>
          </w:p>
        </w:tc>
        <w:tc>
          <w:tcPr>
            <w:tcW w:w="8221" w:type="dxa"/>
            <w:gridSpan w:val="2"/>
          </w:tcPr>
          <w:p w14:paraId="53681B01" w14:textId="77777777" w:rsidR="00145A99" w:rsidRPr="00DA0C6C" w:rsidRDefault="00145A99" w:rsidP="0043523D">
            <w:pPr>
              <w:jc w:val="both"/>
              <w:rPr>
                <w:rFonts w:ascii="Arial" w:hAnsi="Arial" w:cs="Arial"/>
                <w:b/>
                <w:bCs/>
              </w:rPr>
            </w:pPr>
            <w:r w:rsidRPr="00DA0C6C">
              <w:rPr>
                <w:rFonts w:ascii="Arial" w:hAnsi="Arial" w:cs="Arial"/>
                <w:b/>
                <w:bCs/>
              </w:rPr>
              <w:t xml:space="preserve">Actions to Mitigate Impact </w:t>
            </w:r>
          </w:p>
          <w:p w14:paraId="5BE0DB7D" w14:textId="77777777" w:rsidR="00145A99" w:rsidRPr="00B40C6E" w:rsidRDefault="00145A99" w:rsidP="0043523D">
            <w:pPr>
              <w:jc w:val="both"/>
              <w:rPr>
                <w:rFonts w:ascii="Arial" w:hAnsi="Arial" w:cs="Arial"/>
              </w:rPr>
            </w:pPr>
            <w:r>
              <w:rPr>
                <w:rFonts w:ascii="Arial" w:hAnsi="Arial" w:cs="Arial"/>
              </w:rPr>
              <w:t>No known impacts linked to religion or belief</w:t>
            </w:r>
          </w:p>
        </w:tc>
      </w:tr>
      <w:tr w:rsidR="00145A99" w:rsidRPr="00B40C6E" w14:paraId="4F3BC8EC" w14:textId="77777777" w:rsidTr="00145A99">
        <w:trPr>
          <w:trHeight w:val="428"/>
        </w:trPr>
        <w:tc>
          <w:tcPr>
            <w:tcW w:w="1413" w:type="dxa"/>
            <w:vMerge w:val="restart"/>
            <w:shd w:val="clear" w:color="auto" w:fill="DAE9F7" w:themeFill="text2" w:themeFillTint="1A"/>
          </w:tcPr>
          <w:p w14:paraId="333876C6" w14:textId="77777777" w:rsidR="00145A99" w:rsidRPr="00864F92" w:rsidRDefault="00145A99" w:rsidP="0043523D">
            <w:pPr>
              <w:rPr>
                <w:rFonts w:ascii="Arial" w:hAnsi="Arial" w:cs="Arial"/>
                <w:b/>
                <w:bCs/>
                <w:color w:val="0A1D30" w:themeColor="text2" w:themeShade="BF"/>
              </w:rPr>
            </w:pPr>
            <w:r w:rsidRPr="00864F92">
              <w:rPr>
                <w:rFonts w:ascii="Arial" w:hAnsi="Arial" w:cs="Arial"/>
                <w:b/>
                <w:bCs/>
                <w:color w:val="0A1D30" w:themeColor="text2" w:themeShade="BF"/>
              </w:rPr>
              <w:t>Sex</w:t>
            </w:r>
          </w:p>
          <w:p w14:paraId="183148DF" w14:textId="77777777" w:rsidR="00145A99" w:rsidRPr="00864F92" w:rsidRDefault="00145A99" w:rsidP="0043523D">
            <w:pPr>
              <w:spacing w:before="240"/>
              <w:jc w:val="center"/>
              <w:rPr>
                <w:rFonts w:ascii="Arial" w:hAnsi="Arial" w:cs="Arial"/>
                <w:b/>
                <w:bCs/>
                <w:color w:val="0A1D30" w:themeColor="text2" w:themeShade="BF"/>
              </w:rPr>
            </w:pPr>
          </w:p>
        </w:tc>
        <w:tc>
          <w:tcPr>
            <w:tcW w:w="4555" w:type="dxa"/>
          </w:tcPr>
          <w:p w14:paraId="35C55CAB" w14:textId="77777777" w:rsidR="00145A99" w:rsidRPr="00CC2229" w:rsidRDefault="00145A99" w:rsidP="0043523D">
            <w:pPr>
              <w:jc w:val="both"/>
              <w:rPr>
                <w:rFonts w:ascii="Arial" w:hAnsi="Arial" w:cs="Arial"/>
                <w:b/>
                <w:bCs/>
              </w:rPr>
            </w:pPr>
            <w:r w:rsidRPr="00CC2229">
              <w:rPr>
                <w:rFonts w:ascii="Arial" w:hAnsi="Arial" w:cs="Arial"/>
                <w:b/>
                <w:bCs/>
              </w:rPr>
              <w:t>Positive</w:t>
            </w:r>
          </w:p>
          <w:p w14:paraId="6F80D4CD" w14:textId="77777777" w:rsidR="00145A99" w:rsidRDefault="00145A99" w:rsidP="0043523D">
            <w:pPr>
              <w:jc w:val="both"/>
              <w:rPr>
                <w:rFonts w:ascii="Arial" w:hAnsi="Arial" w:cs="Arial"/>
              </w:rPr>
            </w:pPr>
          </w:p>
          <w:p w14:paraId="3C709DA8" w14:textId="77777777" w:rsidR="00145A99" w:rsidRPr="00B40C6E" w:rsidRDefault="00145A99" w:rsidP="0043523D">
            <w:pPr>
              <w:jc w:val="both"/>
              <w:rPr>
                <w:rFonts w:ascii="Arial" w:hAnsi="Arial" w:cs="Arial"/>
              </w:rPr>
            </w:pPr>
          </w:p>
        </w:tc>
        <w:tc>
          <w:tcPr>
            <w:tcW w:w="3666" w:type="dxa"/>
          </w:tcPr>
          <w:p w14:paraId="1DBB2205" w14:textId="77777777" w:rsidR="005625A3" w:rsidRDefault="00145A99" w:rsidP="0043523D">
            <w:pPr>
              <w:spacing w:line="259" w:lineRule="auto"/>
              <w:jc w:val="both"/>
              <w:rPr>
                <w:rFonts w:ascii="Arial" w:hAnsi="Arial" w:cs="Arial"/>
                <w:b/>
                <w:bCs/>
              </w:rPr>
            </w:pPr>
            <w:r w:rsidRPr="42334202">
              <w:rPr>
                <w:rFonts w:ascii="Arial" w:hAnsi="Arial" w:cs="Arial"/>
                <w:b/>
                <w:bCs/>
              </w:rPr>
              <w:t>Negative</w:t>
            </w:r>
            <w:r w:rsidR="005625A3">
              <w:rPr>
                <w:rFonts w:ascii="Arial" w:hAnsi="Arial" w:cs="Arial"/>
                <w:b/>
                <w:bCs/>
              </w:rPr>
              <w:t xml:space="preserve"> </w:t>
            </w:r>
          </w:p>
          <w:p w14:paraId="55DB0AD7" w14:textId="4C1A083E" w:rsidR="00145A99" w:rsidRPr="00B40C6E" w:rsidRDefault="00145A99" w:rsidP="0043523D">
            <w:pPr>
              <w:spacing w:line="259" w:lineRule="auto"/>
              <w:jc w:val="both"/>
              <w:rPr>
                <w:rFonts w:ascii="Arial" w:hAnsi="Arial" w:cs="Arial"/>
              </w:rPr>
            </w:pPr>
            <w:r w:rsidRPr="42334202">
              <w:rPr>
                <w:rFonts w:ascii="Arial" w:hAnsi="Arial" w:cs="Arial"/>
              </w:rPr>
              <w:t xml:space="preserve">Preference to applicants in employment may have an indirect negative impact on women, who are statistically more likely to be the lead parent in single parent families or have carer responsibilities. </w:t>
            </w:r>
          </w:p>
        </w:tc>
      </w:tr>
      <w:tr w:rsidR="00145A99" w:rsidRPr="00B40C6E" w14:paraId="3CA42496" w14:textId="77777777" w:rsidTr="00145A99">
        <w:trPr>
          <w:trHeight w:val="427"/>
        </w:trPr>
        <w:tc>
          <w:tcPr>
            <w:tcW w:w="1413" w:type="dxa"/>
            <w:vMerge/>
            <w:shd w:val="clear" w:color="auto" w:fill="DAE9F7" w:themeFill="text2" w:themeFillTint="1A"/>
          </w:tcPr>
          <w:p w14:paraId="4397F860" w14:textId="77777777" w:rsidR="00145A99" w:rsidRPr="00734FE1" w:rsidRDefault="00145A99" w:rsidP="0043523D">
            <w:pPr>
              <w:spacing w:before="240"/>
              <w:jc w:val="center"/>
              <w:rPr>
                <w:rFonts w:ascii="Arial" w:hAnsi="Arial" w:cs="Arial"/>
                <w:b/>
                <w:bCs/>
                <w:color w:val="0A1D30" w:themeColor="text2" w:themeShade="BF"/>
                <w:sz w:val="24"/>
                <w:szCs w:val="24"/>
                <w:lang w:val="en"/>
              </w:rPr>
            </w:pPr>
          </w:p>
        </w:tc>
        <w:tc>
          <w:tcPr>
            <w:tcW w:w="8221" w:type="dxa"/>
            <w:gridSpan w:val="2"/>
          </w:tcPr>
          <w:p w14:paraId="38205145" w14:textId="77777777" w:rsidR="00145A99" w:rsidRPr="00DA0C6C" w:rsidRDefault="00145A99" w:rsidP="0043523D">
            <w:pPr>
              <w:jc w:val="both"/>
              <w:rPr>
                <w:rFonts w:ascii="Arial" w:hAnsi="Arial" w:cs="Arial"/>
                <w:b/>
                <w:bCs/>
              </w:rPr>
            </w:pPr>
            <w:r w:rsidRPr="00DA0C6C">
              <w:rPr>
                <w:rFonts w:ascii="Arial" w:hAnsi="Arial" w:cs="Arial"/>
                <w:b/>
                <w:bCs/>
              </w:rPr>
              <w:t xml:space="preserve">Actions to Mitigate Impact </w:t>
            </w:r>
          </w:p>
          <w:p w14:paraId="4ADA881A" w14:textId="77777777" w:rsidR="00145A99" w:rsidRPr="00B40C6E" w:rsidRDefault="00145A99" w:rsidP="0043523D">
            <w:pPr>
              <w:jc w:val="both"/>
              <w:rPr>
                <w:rFonts w:ascii="Arial" w:hAnsi="Arial" w:cs="Arial"/>
              </w:rPr>
            </w:pPr>
            <w:r w:rsidRPr="72BB30B8">
              <w:rPr>
                <w:rFonts w:ascii="Arial" w:hAnsi="Arial" w:cs="Arial"/>
              </w:rPr>
              <w:t>Preference to employment has been set at 3</w:t>
            </w:r>
            <w:r>
              <w:rPr>
                <w:rFonts w:ascii="Arial" w:hAnsi="Arial" w:cs="Arial"/>
              </w:rPr>
              <w:t>2</w:t>
            </w:r>
            <w:r w:rsidRPr="72BB30B8">
              <w:rPr>
                <w:rFonts w:ascii="Arial" w:hAnsi="Arial" w:cs="Arial"/>
              </w:rPr>
              <w:t xml:space="preserve">% to reflect the employment rates of the community demographic. This is proportionate to the number of active applicants on Knowsley’s housing register that are in employment, however it is expected that the number of Knowsley residents is slightly higher as applicants are not required to provide this information, there are still </w:t>
            </w:r>
            <w:r>
              <w:rPr>
                <w:rFonts w:ascii="Arial" w:hAnsi="Arial" w:cs="Arial"/>
              </w:rPr>
              <w:t>68</w:t>
            </w:r>
            <w:r w:rsidRPr="72BB30B8">
              <w:rPr>
                <w:rFonts w:ascii="Arial" w:hAnsi="Arial" w:cs="Arial"/>
              </w:rPr>
              <w:t>% of properties for applicants who are not in employment can be considered for.</w:t>
            </w:r>
          </w:p>
        </w:tc>
      </w:tr>
      <w:tr w:rsidR="00145A99" w:rsidRPr="00B40C6E" w14:paraId="6B45483D" w14:textId="77777777" w:rsidTr="00145A99">
        <w:trPr>
          <w:trHeight w:val="428"/>
        </w:trPr>
        <w:tc>
          <w:tcPr>
            <w:tcW w:w="1413" w:type="dxa"/>
            <w:vMerge w:val="restart"/>
            <w:shd w:val="clear" w:color="auto" w:fill="DAE9F7" w:themeFill="text2" w:themeFillTint="1A"/>
          </w:tcPr>
          <w:p w14:paraId="001C71DA" w14:textId="77777777" w:rsidR="00145A99" w:rsidRPr="00864F92" w:rsidRDefault="00145A99" w:rsidP="0043523D">
            <w:pPr>
              <w:rPr>
                <w:rFonts w:ascii="Arial" w:hAnsi="Arial" w:cs="Arial"/>
                <w:b/>
                <w:bCs/>
                <w:color w:val="0A1D30" w:themeColor="text2" w:themeShade="BF"/>
              </w:rPr>
            </w:pPr>
            <w:r w:rsidRPr="00864F92">
              <w:rPr>
                <w:rFonts w:ascii="Arial" w:hAnsi="Arial" w:cs="Arial"/>
                <w:b/>
                <w:bCs/>
                <w:color w:val="0A1D30" w:themeColor="text2" w:themeShade="BF"/>
              </w:rPr>
              <w:t>Sexual orientation</w:t>
            </w:r>
          </w:p>
          <w:p w14:paraId="5E486620" w14:textId="77777777" w:rsidR="00145A99" w:rsidRPr="00864F92" w:rsidRDefault="00145A99" w:rsidP="0043523D">
            <w:pPr>
              <w:spacing w:before="240"/>
              <w:jc w:val="center"/>
              <w:rPr>
                <w:rFonts w:ascii="Arial" w:hAnsi="Arial" w:cs="Arial"/>
                <w:b/>
                <w:bCs/>
                <w:color w:val="0A1D30" w:themeColor="text2" w:themeShade="BF"/>
              </w:rPr>
            </w:pPr>
          </w:p>
        </w:tc>
        <w:tc>
          <w:tcPr>
            <w:tcW w:w="4555" w:type="dxa"/>
          </w:tcPr>
          <w:p w14:paraId="1A82C0BB" w14:textId="77777777" w:rsidR="00145A99" w:rsidRPr="00CC2229" w:rsidRDefault="00145A99" w:rsidP="0043523D">
            <w:pPr>
              <w:jc w:val="both"/>
              <w:rPr>
                <w:rFonts w:ascii="Arial" w:hAnsi="Arial" w:cs="Arial"/>
                <w:b/>
                <w:bCs/>
              </w:rPr>
            </w:pPr>
            <w:r w:rsidRPr="00CC2229">
              <w:rPr>
                <w:rFonts w:ascii="Arial" w:hAnsi="Arial" w:cs="Arial"/>
                <w:b/>
                <w:bCs/>
              </w:rPr>
              <w:t>Positive</w:t>
            </w:r>
          </w:p>
          <w:p w14:paraId="25288566" w14:textId="77777777" w:rsidR="00145A99" w:rsidRDefault="00145A99" w:rsidP="0043523D">
            <w:pPr>
              <w:jc w:val="both"/>
              <w:rPr>
                <w:rFonts w:ascii="Arial" w:hAnsi="Arial" w:cs="Arial"/>
              </w:rPr>
            </w:pPr>
          </w:p>
          <w:p w14:paraId="1E926E20" w14:textId="77777777" w:rsidR="00145A99" w:rsidRPr="00B40C6E" w:rsidRDefault="00145A99" w:rsidP="0043523D">
            <w:pPr>
              <w:jc w:val="both"/>
              <w:rPr>
                <w:rFonts w:ascii="Arial" w:hAnsi="Arial" w:cs="Arial"/>
              </w:rPr>
            </w:pPr>
          </w:p>
        </w:tc>
        <w:tc>
          <w:tcPr>
            <w:tcW w:w="3666" w:type="dxa"/>
          </w:tcPr>
          <w:p w14:paraId="729793D2" w14:textId="77777777" w:rsidR="00145A99" w:rsidRPr="00CC2229" w:rsidRDefault="00145A99" w:rsidP="0043523D">
            <w:pPr>
              <w:jc w:val="both"/>
              <w:rPr>
                <w:rFonts w:ascii="Arial" w:hAnsi="Arial" w:cs="Arial"/>
                <w:b/>
                <w:bCs/>
              </w:rPr>
            </w:pPr>
            <w:r w:rsidRPr="00CC2229">
              <w:rPr>
                <w:rFonts w:ascii="Arial" w:hAnsi="Arial" w:cs="Arial"/>
                <w:b/>
                <w:bCs/>
              </w:rPr>
              <w:t>Negative</w:t>
            </w:r>
          </w:p>
          <w:p w14:paraId="3C0EC318" w14:textId="77777777" w:rsidR="00145A99" w:rsidRDefault="00145A99" w:rsidP="0043523D">
            <w:pPr>
              <w:jc w:val="both"/>
              <w:rPr>
                <w:rFonts w:ascii="Arial" w:hAnsi="Arial" w:cs="Arial"/>
              </w:rPr>
            </w:pPr>
          </w:p>
          <w:p w14:paraId="1D5F4776" w14:textId="77777777" w:rsidR="00145A99" w:rsidRPr="00B40C6E" w:rsidRDefault="00145A99" w:rsidP="0043523D">
            <w:pPr>
              <w:jc w:val="both"/>
              <w:rPr>
                <w:rFonts w:ascii="Arial" w:hAnsi="Arial" w:cs="Arial"/>
              </w:rPr>
            </w:pPr>
          </w:p>
        </w:tc>
      </w:tr>
      <w:tr w:rsidR="00145A99" w:rsidRPr="00B40C6E" w14:paraId="2E37B317" w14:textId="77777777" w:rsidTr="00145A99">
        <w:trPr>
          <w:trHeight w:val="427"/>
        </w:trPr>
        <w:tc>
          <w:tcPr>
            <w:tcW w:w="1413" w:type="dxa"/>
            <w:vMerge/>
            <w:shd w:val="clear" w:color="auto" w:fill="DAE9F7" w:themeFill="text2" w:themeFillTint="1A"/>
          </w:tcPr>
          <w:p w14:paraId="5BF14C36" w14:textId="77777777" w:rsidR="00145A99" w:rsidRPr="00864F92" w:rsidRDefault="00145A99" w:rsidP="0043523D">
            <w:pPr>
              <w:spacing w:before="240"/>
              <w:jc w:val="center"/>
              <w:rPr>
                <w:rFonts w:ascii="Arial" w:hAnsi="Arial" w:cs="Arial"/>
                <w:b/>
                <w:bCs/>
                <w:color w:val="0A1D30" w:themeColor="text2" w:themeShade="BF"/>
                <w:lang w:val="en"/>
              </w:rPr>
            </w:pPr>
          </w:p>
        </w:tc>
        <w:tc>
          <w:tcPr>
            <w:tcW w:w="8221" w:type="dxa"/>
            <w:gridSpan w:val="2"/>
          </w:tcPr>
          <w:p w14:paraId="53059DCA" w14:textId="77777777" w:rsidR="00145A99" w:rsidRPr="00DA0C6C" w:rsidRDefault="00145A99" w:rsidP="0043523D">
            <w:pPr>
              <w:jc w:val="both"/>
              <w:rPr>
                <w:rFonts w:ascii="Arial" w:hAnsi="Arial" w:cs="Arial"/>
                <w:b/>
                <w:bCs/>
              </w:rPr>
            </w:pPr>
            <w:r w:rsidRPr="00DA0C6C">
              <w:rPr>
                <w:rFonts w:ascii="Arial" w:hAnsi="Arial" w:cs="Arial"/>
                <w:b/>
                <w:bCs/>
              </w:rPr>
              <w:t xml:space="preserve">Actions to Mitigate Impact </w:t>
            </w:r>
          </w:p>
          <w:p w14:paraId="198336FC" w14:textId="77777777" w:rsidR="00145A99" w:rsidRDefault="00145A99" w:rsidP="0043523D">
            <w:pPr>
              <w:jc w:val="both"/>
              <w:rPr>
                <w:rFonts w:ascii="Arial" w:hAnsi="Arial" w:cs="Arial"/>
              </w:rPr>
            </w:pPr>
            <w:r>
              <w:rPr>
                <w:rFonts w:ascii="Arial" w:hAnsi="Arial" w:cs="Arial"/>
              </w:rPr>
              <w:t>No known impacts linked to sexual orientation.</w:t>
            </w:r>
          </w:p>
          <w:p w14:paraId="59E12AE7" w14:textId="77777777" w:rsidR="00145A99" w:rsidRPr="00B40C6E" w:rsidRDefault="00145A99" w:rsidP="0043523D">
            <w:pPr>
              <w:jc w:val="both"/>
              <w:rPr>
                <w:rFonts w:ascii="Arial" w:hAnsi="Arial" w:cs="Arial"/>
              </w:rPr>
            </w:pPr>
          </w:p>
        </w:tc>
      </w:tr>
      <w:tr w:rsidR="00145A99" w:rsidRPr="00B40C6E" w14:paraId="31622A2A" w14:textId="77777777" w:rsidTr="00145A99">
        <w:trPr>
          <w:trHeight w:val="428"/>
        </w:trPr>
        <w:tc>
          <w:tcPr>
            <w:tcW w:w="1413" w:type="dxa"/>
            <w:vMerge w:val="restart"/>
            <w:shd w:val="clear" w:color="auto" w:fill="DAE9F7" w:themeFill="text2" w:themeFillTint="1A"/>
          </w:tcPr>
          <w:p w14:paraId="29DE44A9" w14:textId="77777777" w:rsidR="00145A99" w:rsidRPr="00864F92" w:rsidRDefault="00145A99" w:rsidP="0043523D">
            <w:pPr>
              <w:rPr>
                <w:rFonts w:ascii="Arial" w:hAnsi="Arial" w:cs="Arial"/>
                <w:b/>
                <w:bCs/>
                <w:color w:val="0A1D30" w:themeColor="text2" w:themeShade="BF"/>
              </w:rPr>
            </w:pPr>
            <w:r w:rsidRPr="00864F92">
              <w:rPr>
                <w:rFonts w:ascii="Arial" w:hAnsi="Arial" w:cs="Arial"/>
                <w:b/>
                <w:bCs/>
                <w:color w:val="0A1D30" w:themeColor="text2" w:themeShade="BF"/>
              </w:rPr>
              <w:t>Gender reassignment</w:t>
            </w:r>
          </w:p>
          <w:p w14:paraId="4EFCCFED" w14:textId="77777777" w:rsidR="00145A99" w:rsidRPr="00864F92" w:rsidRDefault="00145A99" w:rsidP="0043523D">
            <w:pPr>
              <w:spacing w:before="240"/>
              <w:jc w:val="center"/>
              <w:rPr>
                <w:rFonts w:ascii="Arial" w:hAnsi="Arial" w:cs="Arial"/>
                <w:b/>
                <w:bCs/>
                <w:color w:val="0A1D30" w:themeColor="text2" w:themeShade="BF"/>
              </w:rPr>
            </w:pPr>
          </w:p>
        </w:tc>
        <w:tc>
          <w:tcPr>
            <w:tcW w:w="4555" w:type="dxa"/>
          </w:tcPr>
          <w:p w14:paraId="53C18A58" w14:textId="77777777" w:rsidR="00145A99" w:rsidRPr="00E55050" w:rsidRDefault="00145A99" w:rsidP="0043523D">
            <w:pPr>
              <w:jc w:val="both"/>
              <w:rPr>
                <w:rFonts w:ascii="Arial" w:hAnsi="Arial" w:cs="Arial"/>
                <w:b/>
                <w:bCs/>
              </w:rPr>
            </w:pPr>
            <w:r w:rsidRPr="00E55050">
              <w:rPr>
                <w:rFonts w:ascii="Arial" w:hAnsi="Arial" w:cs="Arial"/>
                <w:b/>
                <w:bCs/>
              </w:rPr>
              <w:t>Positive</w:t>
            </w:r>
          </w:p>
          <w:p w14:paraId="42E5243D" w14:textId="77777777" w:rsidR="00145A99" w:rsidRPr="00B40C6E" w:rsidRDefault="00145A99" w:rsidP="0043523D">
            <w:pPr>
              <w:jc w:val="both"/>
              <w:rPr>
                <w:rFonts w:ascii="Arial" w:hAnsi="Arial" w:cs="Arial"/>
              </w:rPr>
            </w:pPr>
          </w:p>
        </w:tc>
        <w:tc>
          <w:tcPr>
            <w:tcW w:w="3666" w:type="dxa"/>
          </w:tcPr>
          <w:p w14:paraId="6BAC22EE" w14:textId="77777777" w:rsidR="00145A99" w:rsidRPr="00E55050" w:rsidRDefault="00145A99" w:rsidP="0043523D">
            <w:pPr>
              <w:jc w:val="both"/>
              <w:rPr>
                <w:rFonts w:ascii="Arial" w:hAnsi="Arial" w:cs="Arial"/>
                <w:b/>
                <w:bCs/>
              </w:rPr>
            </w:pPr>
            <w:r w:rsidRPr="00E55050">
              <w:rPr>
                <w:rFonts w:ascii="Arial" w:hAnsi="Arial" w:cs="Arial"/>
                <w:b/>
                <w:bCs/>
              </w:rPr>
              <w:t>Negative</w:t>
            </w:r>
          </w:p>
          <w:p w14:paraId="45C4FE72" w14:textId="77777777" w:rsidR="00145A99" w:rsidRPr="00B40C6E" w:rsidRDefault="00145A99" w:rsidP="0043523D">
            <w:pPr>
              <w:jc w:val="both"/>
              <w:rPr>
                <w:rFonts w:ascii="Arial" w:hAnsi="Arial" w:cs="Arial"/>
              </w:rPr>
            </w:pPr>
            <w:r>
              <w:rPr>
                <w:rFonts w:ascii="Arial" w:hAnsi="Arial" w:cs="Arial"/>
              </w:rPr>
              <w:t xml:space="preserve">Our records must show the legal name of the applicant and we will go through ID checks to confirm the identity of who we are speaking to. </w:t>
            </w:r>
          </w:p>
        </w:tc>
      </w:tr>
      <w:tr w:rsidR="00145A99" w:rsidRPr="00B40C6E" w14:paraId="00926D28" w14:textId="77777777" w:rsidTr="00145A99">
        <w:trPr>
          <w:trHeight w:val="427"/>
        </w:trPr>
        <w:tc>
          <w:tcPr>
            <w:tcW w:w="1413" w:type="dxa"/>
            <w:vMerge/>
            <w:shd w:val="clear" w:color="auto" w:fill="DAE9F7" w:themeFill="text2" w:themeFillTint="1A"/>
          </w:tcPr>
          <w:p w14:paraId="1DF8636E" w14:textId="77777777" w:rsidR="00145A99" w:rsidRPr="00864F92" w:rsidRDefault="00145A99" w:rsidP="0043523D">
            <w:pPr>
              <w:spacing w:before="240"/>
              <w:jc w:val="center"/>
              <w:rPr>
                <w:rFonts w:ascii="Arial" w:hAnsi="Arial" w:cs="Arial"/>
                <w:b/>
                <w:bCs/>
                <w:color w:val="0A1D30" w:themeColor="text2" w:themeShade="BF"/>
                <w:lang w:val="en"/>
              </w:rPr>
            </w:pPr>
          </w:p>
        </w:tc>
        <w:tc>
          <w:tcPr>
            <w:tcW w:w="8221" w:type="dxa"/>
            <w:gridSpan w:val="2"/>
          </w:tcPr>
          <w:p w14:paraId="5D0B2217" w14:textId="77777777" w:rsidR="00145A99" w:rsidRPr="00DA0C6C" w:rsidRDefault="00145A99" w:rsidP="0043523D">
            <w:pPr>
              <w:jc w:val="both"/>
              <w:rPr>
                <w:rFonts w:ascii="Arial" w:hAnsi="Arial" w:cs="Arial"/>
                <w:b/>
                <w:bCs/>
              </w:rPr>
            </w:pPr>
            <w:r w:rsidRPr="00DA0C6C">
              <w:rPr>
                <w:rFonts w:ascii="Arial" w:hAnsi="Arial" w:cs="Arial"/>
                <w:b/>
                <w:bCs/>
              </w:rPr>
              <w:t xml:space="preserve">Actions to Mitigate Impact </w:t>
            </w:r>
          </w:p>
          <w:p w14:paraId="0F27AFDD" w14:textId="77777777" w:rsidR="00145A99" w:rsidRPr="00B40C6E" w:rsidRDefault="00145A99" w:rsidP="0043523D">
            <w:pPr>
              <w:jc w:val="both"/>
              <w:rPr>
                <w:rFonts w:ascii="Arial" w:hAnsi="Arial" w:cs="Arial"/>
              </w:rPr>
            </w:pPr>
            <w:r>
              <w:rPr>
                <w:rFonts w:ascii="Arial" w:hAnsi="Arial" w:cs="Arial"/>
              </w:rPr>
              <w:t xml:space="preserve">Where a person’s ID does not match their chosen names, the team will ask for evidence of any name change or, if there has not been a legal change of name, will explain that to proceed with an application the legislation requires that formal documents use legal names. Where legal names must be used on legal documents a customer can request to </w:t>
            </w:r>
            <w:r>
              <w:rPr>
                <w:rFonts w:ascii="Arial" w:hAnsi="Arial" w:cs="Arial"/>
              </w:rPr>
              <w:lastRenderedPageBreak/>
              <w:t>be referred to by a different name and the team will respect this and ensure appropriate records are made to avoid “dead naming”</w:t>
            </w:r>
          </w:p>
        </w:tc>
      </w:tr>
      <w:tr w:rsidR="00145A99" w:rsidRPr="00B40C6E" w14:paraId="36FA9DE0" w14:textId="77777777" w:rsidTr="00145A99">
        <w:trPr>
          <w:trHeight w:val="428"/>
        </w:trPr>
        <w:tc>
          <w:tcPr>
            <w:tcW w:w="1413" w:type="dxa"/>
            <w:vMerge w:val="restart"/>
            <w:shd w:val="clear" w:color="auto" w:fill="DAE9F7" w:themeFill="text2" w:themeFillTint="1A"/>
          </w:tcPr>
          <w:p w14:paraId="0C725008" w14:textId="77777777" w:rsidR="00145A99" w:rsidRPr="00864F92" w:rsidRDefault="00145A99" w:rsidP="0043523D">
            <w:pPr>
              <w:rPr>
                <w:rFonts w:ascii="Arial" w:hAnsi="Arial" w:cs="Arial"/>
                <w:b/>
                <w:bCs/>
                <w:color w:val="0A1D30" w:themeColor="text2" w:themeShade="BF"/>
              </w:rPr>
            </w:pPr>
            <w:r w:rsidRPr="00864F92">
              <w:rPr>
                <w:rFonts w:ascii="Arial" w:hAnsi="Arial" w:cs="Arial"/>
                <w:b/>
                <w:bCs/>
                <w:color w:val="0A1D30" w:themeColor="text2" w:themeShade="BF"/>
              </w:rPr>
              <w:lastRenderedPageBreak/>
              <w:t>Marriage and civil partnership</w:t>
            </w:r>
          </w:p>
          <w:p w14:paraId="1874F4BD" w14:textId="77777777" w:rsidR="00145A99" w:rsidRPr="00864F92" w:rsidRDefault="00145A99" w:rsidP="0043523D">
            <w:pPr>
              <w:spacing w:before="240"/>
              <w:jc w:val="center"/>
              <w:rPr>
                <w:rFonts w:ascii="Arial" w:hAnsi="Arial" w:cs="Arial"/>
                <w:b/>
                <w:bCs/>
                <w:color w:val="0A1D30" w:themeColor="text2" w:themeShade="BF"/>
              </w:rPr>
            </w:pPr>
          </w:p>
        </w:tc>
        <w:tc>
          <w:tcPr>
            <w:tcW w:w="4555" w:type="dxa"/>
          </w:tcPr>
          <w:p w14:paraId="59DDAD9E" w14:textId="77777777" w:rsidR="00145A99" w:rsidRPr="00E55050" w:rsidRDefault="00145A99" w:rsidP="0043523D">
            <w:pPr>
              <w:jc w:val="both"/>
              <w:rPr>
                <w:rFonts w:ascii="Arial" w:hAnsi="Arial" w:cs="Arial"/>
                <w:b/>
                <w:bCs/>
              </w:rPr>
            </w:pPr>
            <w:r w:rsidRPr="00E55050">
              <w:rPr>
                <w:rFonts w:ascii="Arial" w:hAnsi="Arial" w:cs="Arial"/>
                <w:b/>
                <w:bCs/>
              </w:rPr>
              <w:t>Positive</w:t>
            </w:r>
          </w:p>
          <w:p w14:paraId="285A7C60" w14:textId="77777777" w:rsidR="00145A99" w:rsidRPr="00B40C6E" w:rsidRDefault="00145A99" w:rsidP="0043523D">
            <w:pPr>
              <w:jc w:val="both"/>
              <w:rPr>
                <w:rFonts w:ascii="Arial" w:hAnsi="Arial" w:cs="Arial"/>
              </w:rPr>
            </w:pPr>
          </w:p>
        </w:tc>
        <w:tc>
          <w:tcPr>
            <w:tcW w:w="3666" w:type="dxa"/>
          </w:tcPr>
          <w:p w14:paraId="3262354F" w14:textId="77777777" w:rsidR="00145A99" w:rsidRPr="00E55050" w:rsidRDefault="00145A99" w:rsidP="0043523D">
            <w:pPr>
              <w:jc w:val="both"/>
              <w:rPr>
                <w:rFonts w:ascii="Arial" w:hAnsi="Arial" w:cs="Arial"/>
                <w:b/>
                <w:bCs/>
              </w:rPr>
            </w:pPr>
            <w:r w:rsidRPr="00E55050">
              <w:rPr>
                <w:rFonts w:ascii="Arial" w:hAnsi="Arial" w:cs="Arial"/>
                <w:b/>
                <w:bCs/>
              </w:rPr>
              <w:t>Negative</w:t>
            </w:r>
          </w:p>
          <w:p w14:paraId="7CA3E7A5" w14:textId="77777777" w:rsidR="00145A99" w:rsidRPr="00B40C6E" w:rsidRDefault="00145A99" w:rsidP="0043523D">
            <w:pPr>
              <w:jc w:val="both"/>
              <w:rPr>
                <w:rFonts w:ascii="Arial" w:hAnsi="Arial" w:cs="Arial"/>
              </w:rPr>
            </w:pPr>
          </w:p>
        </w:tc>
      </w:tr>
      <w:tr w:rsidR="00145A99" w:rsidRPr="00B40C6E" w14:paraId="0E2E0A85" w14:textId="77777777" w:rsidTr="00145A99">
        <w:trPr>
          <w:trHeight w:val="427"/>
        </w:trPr>
        <w:tc>
          <w:tcPr>
            <w:tcW w:w="1413" w:type="dxa"/>
            <w:vMerge/>
            <w:shd w:val="clear" w:color="auto" w:fill="DAE9F7" w:themeFill="text2" w:themeFillTint="1A"/>
          </w:tcPr>
          <w:p w14:paraId="47877ACF" w14:textId="77777777" w:rsidR="00145A99" w:rsidRPr="00864F92" w:rsidRDefault="00145A99" w:rsidP="0043523D">
            <w:pPr>
              <w:spacing w:before="240"/>
              <w:jc w:val="center"/>
              <w:rPr>
                <w:rFonts w:ascii="Arial" w:hAnsi="Arial" w:cs="Arial"/>
                <w:b/>
                <w:bCs/>
                <w:color w:val="0A1D30" w:themeColor="text2" w:themeShade="BF"/>
                <w:lang w:val="en"/>
              </w:rPr>
            </w:pPr>
          </w:p>
        </w:tc>
        <w:tc>
          <w:tcPr>
            <w:tcW w:w="8221" w:type="dxa"/>
            <w:gridSpan w:val="2"/>
          </w:tcPr>
          <w:p w14:paraId="337F2846" w14:textId="77777777" w:rsidR="00145A99" w:rsidRPr="00CC2229" w:rsidRDefault="00145A99" w:rsidP="0043523D">
            <w:pPr>
              <w:jc w:val="both"/>
              <w:rPr>
                <w:rFonts w:ascii="Arial" w:hAnsi="Arial" w:cs="Arial"/>
                <w:b/>
                <w:bCs/>
              </w:rPr>
            </w:pPr>
            <w:r w:rsidRPr="00CC2229">
              <w:rPr>
                <w:rFonts w:ascii="Arial" w:hAnsi="Arial" w:cs="Arial"/>
                <w:b/>
                <w:bCs/>
              </w:rPr>
              <w:t xml:space="preserve">Actions to Mitigate Impact </w:t>
            </w:r>
          </w:p>
          <w:p w14:paraId="3038CD70" w14:textId="77777777" w:rsidR="00145A99" w:rsidRPr="00B40C6E" w:rsidRDefault="00145A99" w:rsidP="0043523D">
            <w:pPr>
              <w:jc w:val="both"/>
              <w:rPr>
                <w:rFonts w:ascii="Arial" w:hAnsi="Arial" w:cs="Arial"/>
              </w:rPr>
            </w:pPr>
            <w:r>
              <w:rPr>
                <w:rFonts w:ascii="Arial" w:hAnsi="Arial" w:cs="Arial"/>
              </w:rPr>
              <w:t>No known impacts linked to Marriage &amp; Civil Partnerships</w:t>
            </w:r>
          </w:p>
        </w:tc>
      </w:tr>
      <w:tr w:rsidR="00145A99" w:rsidRPr="00B40C6E" w14:paraId="10D33839" w14:textId="77777777" w:rsidTr="00145A99">
        <w:trPr>
          <w:trHeight w:val="428"/>
        </w:trPr>
        <w:tc>
          <w:tcPr>
            <w:tcW w:w="1413" w:type="dxa"/>
            <w:vMerge w:val="restart"/>
            <w:shd w:val="clear" w:color="auto" w:fill="DAE9F7" w:themeFill="text2" w:themeFillTint="1A"/>
          </w:tcPr>
          <w:p w14:paraId="17565913" w14:textId="77777777" w:rsidR="00145A99" w:rsidRPr="00864F92" w:rsidRDefault="00145A99" w:rsidP="0043523D">
            <w:pPr>
              <w:rPr>
                <w:rFonts w:ascii="Arial" w:hAnsi="Arial" w:cs="Arial"/>
                <w:b/>
                <w:bCs/>
                <w:color w:val="0A1D30" w:themeColor="text2" w:themeShade="BF"/>
              </w:rPr>
            </w:pPr>
            <w:r w:rsidRPr="00864F92">
              <w:rPr>
                <w:rFonts w:ascii="Arial" w:hAnsi="Arial" w:cs="Arial"/>
                <w:b/>
                <w:bCs/>
                <w:color w:val="0A1D30" w:themeColor="text2" w:themeShade="BF"/>
              </w:rPr>
              <w:t>Pregnancy and maternity</w:t>
            </w:r>
          </w:p>
          <w:p w14:paraId="66A3EFB0" w14:textId="77777777" w:rsidR="00145A99" w:rsidRPr="00864F92" w:rsidRDefault="00145A99" w:rsidP="0043523D">
            <w:pPr>
              <w:spacing w:before="240"/>
              <w:jc w:val="center"/>
              <w:rPr>
                <w:rFonts w:ascii="Arial" w:hAnsi="Arial" w:cs="Arial"/>
                <w:b/>
                <w:bCs/>
                <w:color w:val="0A1D30" w:themeColor="text2" w:themeShade="BF"/>
              </w:rPr>
            </w:pPr>
          </w:p>
        </w:tc>
        <w:tc>
          <w:tcPr>
            <w:tcW w:w="4555" w:type="dxa"/>
          </w:tcPr>
          <w:p w14:paraId="3A2F1F36" w14:textId="77777777" w:rsidR="00145A99" w:rsidRPr="00013A45" w:rsidRDefault="00145A99" w:rsidP="0043523D">
            <w:pPr>
              <w:jc w:val="both"/>
              <w:rPr>
                <w:rFonts w:ascii="Arial" w:hAnsi="Arial" w:cs="Arial"/>
                <w:b/>
                <w:bCs/>
              </w:rPr>
            </w:pPr>
            <w:r w:rsidRPr="00013A45">
              <w:rPr>
                <w:rFonts w:ascii="Arial" w:hAnsi="Arial" w:cs="Arial"/>
                <w:b/>
                <w:bCs/>
              </w:rPr>
              <w:t>Positive</w:t>
            </w:r>
          </w:p>
          <w:p w14:paraId="3CCD2027" w14:textId="77777777" w:rsidR="00145A99" w:rsidRPr="00B40C6E" w:rsidRDefault="00145A99" w:rsidP="0043523D">
            <w:pPr>
              <w:jc w:val="both"/>
              <w:rPr>
                <w:rFonts w:ascii="Arial" w:hAnsi="Arial" w:cs="Arial"/>
              </w:rPr>
            </w:pPr>
          </w:p>
        </w:tc>
        <w:tc>
          <w:tcPr>
            <w:tcW w:w="3666" w:type="dxa"/>
          </w:tcPr>
          <w:p w14:paraId="2457413A" w14:textId="77777777" w:rsidR="00145A99" w:rsidRDefault="00145A99" w:rsidP="0043523D">
            <w:pPr>
              <w:jc w:val="both"/>
              <w:rPr>
                <w:rFonts w:ascii="Arial" w:hAnsi="Arial" w:cs="Arial"/>
                <w:b/>
                <w:bCs/>
              </w:rPr>
            </w:pPr>
            <w:r w:rsidRPr="00013A45">
              <w:rPr>
                <w:rFonts w:ascii="Arial" w:hAnsi="Arial" w:cs="Arial"/>
                <w:b/>
                <w:bCs/>
              </w:rPr>
              <w:t>Negativ</w:t>
            </w:r>
            <w:r>
              <w:rPr>
                <w:rFonts w:ascii="Arial" w:hAnsi="Arial" w:cs="Arial"/>
                <w:b/>
                <w:bCs/>
              </w:rPr>
              <w:t>e</w:t>
            </w:r>
          </w:p>
          <w:p w14:paraId="426E055E" w14:textId="2F14D815" w:rsidR="00145A99" w:rsidRPr="00CF3F5C" w:rsidRDefault="00145A99" w:rsidP="0043523D">
            <w:pPr>
              <w:jc w:val="both"/>
              <w:rPr>
                <w:rFonts w:ascii="Arial" w:hAnsi="Arial" w:cs="Arial"/>
              </w:rPr>
            </w:pPr>
            <w:r w:rsidRPr="42334202">
              <w:rPr>
                <w:rFonts w:ascii="Arial" w:hAnsi="Arial" w:cs="Arial"/>
              </w:rPr>
              <w:t>Evidence will be required to assess the</w:t>
            </w:r>
            <w:r w:rsidR="005625A3">
              <w:rPr>
                <w:rFonts w:ascii="Arial" w:hAnsi="Arial" w:cs="Arial"/>
              </w:rPr>
              <w:t xml:space="preserve"> </w:t>
            </w:r>
            <w:r>
              <w:rPr>
                <w:rFonts w:ascii="Arial" w:hAnsi="Arial" w:cs="Arial"/>
              </w:rPr>
              <w:t xml:space="preserve">person’s Property Pool Plus </w:t>
            </w:r>
            <w:r w:rsidRPr="42334202">
              <w:rPr>
                <w:rFonts w:ascii="Arial" w:hAnsi="Arial" w:cs="Arial"/>
              </w:rPr>
              <w:t>application</w:t>
            </w:r>
            <w:r>
              <w:rPr>
                <w:rFonts w:ascii="Arial" w:hAnsi="Arial" w:cs="Arial"/>
              </w:rPr>
              <w:t xml:space="preserve"> If the person does not provide this evidence alongside the required documentation this may prolong the assessment of their application</w:t>
            </w:r>
            <w:r w:rsidRPr="42334202">
              <w:rPr>
                <w:rFonts w:ascii="Arial" w:hAnsi="Arial" w:cs="Arial"/>
              </w:rPr>
              <w:t>.</w:t>
            </w:r>
          </w:p>
          <w:p w14:paraId="11D0C2F0" w14:textId="77777777" w:rsidR="00145A99" w:rsidRPr="00B40C6E" w:rsidRDefault="00145A99" w:rsidP="0043523D">
            <w:pPr>
              <w:jc w:val="both"/>
              <w:rPr>
                <w:rFonts w:ascii="Arial" w:hAnsi="Arial" w:cs="Arial"/>
              </w:rPr>
            </w:pPr>
          </w:p>
        </w:tc>
      </w:tr>
      <w:tr w:rsidR="00145A99" w:rsidRPr="00B40C6E" w14:paraId="6CB136CB" w14:textId="77777777" w:rsidTr="00145A99">
        <w:trPr>
          <w:trHeight w:val="427"/>
        </w:trPr>
        <w:tc>
          <w:tcPr>
            <w:tcW w:w="1413" w:type="dxa"/>
            <w:vMerge/>
            <w:shd w:val="clear" w:color="auto" w:fill="DAE9F7" w:themeFill="text2" w:themeFillTint="1A"/>
          </w:tcPr>
          <w:p w14:paraId="12209DAE" w14:textId="77777777" w:rsidR="00145A99" w:rsidRPr="00864F92" w:rsidRDefault="00145A99" w:rsidP="0043523D">
            <w:pPr>
              <w:spacing w:before="240"/>
              <w:jc w:val="center"/>
              <w:rPr>
                <w:rFonts w:ascii="Arial" w:hAnsi="Arial" w:cs="Arial"/>
                <w:b/>
                <w:bCs/>
                <w:color w:val="0A1D30" w:themeColor="text2" w:themeShade="BF"/>
                <w:lang w:val="en"/>
              </w:rPr>
            </w:pPr>
          </w:p>
        </w:tc>
        <w:tc>
          <w:tcPr>
            <w:tcW w:w="8221" w:type="dxa"/>
            <w:gridSpan w:val="2"/>
          </w:tcPr>
          <w:p w14:paraId="084DCDD1" w14:textId="77777777" w:rsidR="00145A99" w:rsidRPr="001822DD" w:rsidRDefault="00145A99" w:rsidP="0043523D">
            <w:pPr>
              <w:jc w:val="both"/>
              <w:rPr>
                <w:rFonts w:ascii="Arial" w:hAnsi="Arial" w:cs="Arial"/>
                <w:b/>
                <w:bCs/>
              </w:rPr>
            </w:pPr>
            <w:r w:rsidRPr="001822DD">
              <w:rPr>
                <w:rFonts w:ascii="Arial" w:hAnsi="Arial" w:cs="Arial"/>
                <w:b/>
                <w:bCs/>
              </w:rPr>
              <w:t xml:space="preserve">Actions to Mitigate Impact </w:t>
            </w:r>
          </w:p>
          <w:p w14:paraId="2BDD87D8" w14:textId="77777777" w:rsidR="00145A99" w:rsidRPr="00B40C6E" w:rsidRDefault="00145A99" w:rsidP="0043523D">
            <w:pPr>
              <w:jc w:val="both"/>
              <w:rPr>
                <w:rFonts w:ascii="Arial" w:hAnsi="Arial" w:cs="Arial"/>
              </w:rPr>
            </w:pPr>
            <w:r>
              <w:rPr>
                <w:rFonts w:ascii="Arial" w:hAnsi="Arial" w:cs="Arial"/>
              </w:rPr>
              <w:t>To ensure the applicants are awarded the correct banding and property type, applicants will be required to provide evidence of pregnancy.</w:t>
            </w:r>
          </w:p>
        </w:tc>
      </w:tr>
      <w:tr w:rsidR="00145A99" w:rsidRPr="00B40C6E" w14:paraId="6B8EE94D" w14:textId="77777777" w:rsidTr="00145A99">
        <w:trPr>
          <w:trHeight w:val="428"/>
        </w:trPr>
        <w:tc>
          <w:tcPr>
            <w:tcW w:w="1413" w:type="dxa"/>
            <w:vMerge w:val="restart"/>
            <w:shd w:val="clear" w:color="auto" w:fill="DAE9F7" w:themeFill="text2" w:themeFillTint="1A"/>
          </w:tcPr>
          <w:p w14:paraId="658FF4F7" w14:textId="77777777" w:rsidR="00145A99" w:rsidRPr="00864F92" w:rsidRDefault="00145A99" w:rsidP="0043523D">
            <w:pPr>
              <w:rPr>
                <w:rFonts w:ascii="Arial" w:hAnsi="Arial" w:cs="Arial"/>
                <w:b/>
                <w:bCs/>
                <w:color w:val="0A1D30" w:themeColor="text2" w:themeShade="BF"/>
              </w:rPr>
            </w:pPr>
            <w:r w:rsidRPr="00864F92">
              <w:rPr>
                <w:rFonts w:ascii="Arial" w:hAnsi="Arial" w:cs="Arial"/>
                <w:b/>
                <w:bCs/>
                <w:color w:val="0A1D30" w:themeColor="text2" w:themeShade="BF"/>
              </w:rPr>
              <w:t>Socio-economic background*</w:t>
            </w:r>
          </w:p>
          <w:p w14:paraId="5EB5A53C" w14:textId="77777777" w:rsidR="00145A99" w:rsidRPr="00864F92" w:rsidRDefault="00145A99" w:rsidP="0043523D">
            <w:pPr>
              <w:spacing w:before="240"/>
              <w:jc w:val="center"/>
              <w:rPr>
                <w:rFonts w:ascii="Arial" w:hAnsi="Arial" w:cs="Arial"/>
                <w:b/>
                <w:bCs/>
                <w:color w:val="0A1D30" w:themeColor="text2" w:themeShade="BF"/>
              </w:rPr>
            </w:pPr>
          </w:p>
        </w:tc>
        <w:tc>
          <w:tcPr>
            <w:tcW w:w="4555" w:type="dxa"/>
          </w:tcPr>
          <w:p w14:paraId="7990D226" w14:textId="77777777" w:rsidR="00145A99" w:rsidRDefault="00145A99" w:rsidP="0043523D">
            <w:pPr>
              <w:jc w:val="both"/>
              <w:rPr>
                <w:rFonts w:ascii="Arial" w:hAnsi="Arial" w:cs="Arial"/>
                <w:b/>
                <w:bCs/>
              </w:rPr>
            </w:pPr>
            <w:r w:rsidRPr="001822DD">
              <w:rPr>
                <w:rFonts w:ascii="Arial" w:hAnsi="Arial" w:cs="Arial"/>
                <w:b/>
                <w:bCs/>
              </w:rPr>
              <w:t>Positive</w:t>
            </w:r>
          </w:p>
          <w:p w14:paraId="43DAF676" w14:textId="77777777" w:rsidR="00145A99" w:rsidRPr="00CF3F5C" w:rsidRDefault="00145A99" w:rsidP="0043523D">
            <w:pPr>
              <w:jc w:val="both"/>
              <w:rPr>
                <w:rFonts w:ascii="Arial" w:hAnsi="Arial" w:cs="Arial"/>
              </w:rPr>
            </w:pPr>
            <w:r>
              <w:rPr>
                <w:rFonts w:ascii="Arial" w:hAnsi="Arial" w:cs="Arial"/>
              </w:rPr>
              <w:t>Money advice will be provided where the pre-tenancy affordability assessment highlights concerns</w:t>
            </w:r>
          </w:p>
        </w:tc>
        <w:tc>
          <w:tcPr>
            <w:tcW w:w="3666" w:type="dxa"/>
          </w:tcPr>
          <w:p w14:paraId="422DF40B" w14:textId="77777777" w:rsidR="00145A99" w:rsidRPr="001822DD" w:rsidRDefault="00145A99" w:rsidP="0043523D">
            <w:pPr>
              <w:jc w:val="both"/>
              <w:rPr>
                <w:rFonts w:ascii="Arial" w:hAnsi="Arial" w:cs="Arial"/>
                <w:b/>
                <w:bCs/>
              </w:rPr>
            </w:pPr>
            <w:r w:rsidRPr="42334202">
              <w:rPr>
                <w:rFonts w:ascii="Arial" w:hAnsi="Arial" w:cs="Arial"/>
                <w:b/>
                <w:bCs/>
              </w:rPr>
              <w:t>Negative</w:t>
            </w:r>
          </w:p>
          <w:p w14:paraId="77F82867" w14:textId="77777777" w:rsidR="00145A99" w:rsidRDefault="00145A99" w:rsidP="0043523D">
            <w:pPr>
              <w:jc w:val="both"/>
              <w:rPr>
                <w:rFonts w:ascii="Arial" w:hAnsi="Arial" w:cs="Arial"/>
              </w:rPr>
            </w:pPr>
            <w:r w:rsidRPr="42334202">
              <w:rPr>
                <w:rFonts w:ascii="Arial" w:hAnsi="Arial" w:cs="Arial"/>
              </w:rPr>
              <w:t xml:space="preserve">Money advice will be provided where the pre-tenancy affordability assessment highlights concerns </w:t>
            </w:r>
          </w:p>
          <w:p w14:paraId="0632F287" w14:textId="77777777" w:rsidR="00145A99" w:rsidRDefault="00145A99" w:rsidP="0043523D">
            <w:pPr>
              <w:jc w:val="both"/>
              <w:rPr>
                <w:rFonts w:ascii="Arial" w:hAnsi="Arial" w:cs="Arial"/>
              </w:rPr>
            </w:pPr>
            <w:r w:rsidRPr="42334202">
              <w:rPr>
                <w:rFonts w:ascii="Arial" w:hAnsi="Arial" w:cs="Arial"/>
              </w:rPr>
              <w:t xml:space="preserve">Preference to applicants in employment may have a negative impact on applicants for particular socio-economic backgrounds </w:t>
            </w:r>
          </w:p>
        </w:tc>
      </w:tr>
      <w:tr w:rsidR="00145A99" w:rsidRPr="00B40C6E" w14:paraId="5D79DCB7" w14:textId="77777777" w:rsidTr="00145A99">
        <w:trPr>
          <w:trHeight w:val="427"/>
        </w:trPr>
        <w:tc>
          <w:tcPr>
            <w:tcW w:w="1413" w:type="dxa"/>
            <w:vMerge/>
            <w:shd w:val="clear" w:color="auto" w:fill="DAE9F7" w:themeFill="text2" w:themeFillTint="1A"/>
          </w:tcPr>
          <w:p w14:paraId="64991B04" w14:textId="77777777" w:rsidR="00145A99" w:rsidRPr="00864F92" w:rsidRDefault="00145A99" w:rsidP="0043523D">
            <w:pPr>
              <w:spacing w:before="240"/>
              <w:jc w:val="center"/>
              <w:rPr>
                <w:rFonts w:ascii="Arial" w:hAnsi="Arial" w:cs="Arial"/>
                <w:b/>
                <w:bCs/>
                <w:color w:val="0A1D30" w:themeColor="text2" w:themeShade="BF"/>
                <w:lang w:val="en"/>
              </w:rPr>
            </w:pPr>
          </w:p>
        </w:tc>
        <w:tc>
          <w:tcPr>
            <w:tcW w:w="8221" w:type="dxa"/>
            <w:gridSpan w:val="2"/>
          </w:tcPr>
          <w:p w14:paraId="60AE65F5" w14:textId="77777777" w:rsidR="00145A99" w:rsidRPr="001822DD" w:rsidRDefault="00145A99" w:rsidP="0043523D">
            <w:pPr>
              <w:jc w:val="both"/>
              <w:rPr>
                <w:rFonts w:ascii="Arial" w:hAnsi="Arial" w:cs="Arial"/>
                <w:b/>
                <w:bCs/>
              </w:rPr>
            </w:pPr>
            <w:r w:rsidRPr="001822DD">
              <w:rPr>
                <w:rFonts w:ascii="Arial" w:hAnsi="Arial" w:cs="Arial"/>
                <w:b/>
                <w:bCs/>
              </w:rPr>
              <w:t xml:space="preserve">Actions to Mitigate Impact </w:t>
            </w:r>
          </w:p>
          <w:p w14:paraId="1D8A4B5C" w14:textId="77777777" w:rsidR="00145A99" w:rsidRPr="00B40C6E" w:rsidRDefault="00145A99" w:rsidP="0043523D">
            <w:pPr>
              <w:jc w:val="both"/>
              <w:rPr>
                <w:rFonts w:ascii="Arial" w:hAnsi="Arial" w:cs="Arial"/>
              </w:rPr>
            </w:pPr>
            <w:r w:rsidRPr="42334202">
              <w:rPr>
                <w:rFonts w:ascii="Arial" w:hAnsi="Arial" w:cs="Arial"/>
              </w:rPr>
              <w:t>The Money Advice Team will proactively support customers to manage any debts prior to tenancy commencement. Those customers in financial hardship will be offered support in to assist then in accessing and sustaining their tenancy.</w:t>
            </w:r>
            <w:r w:rsidRPr="72BB30B8">
              <w:rPr>
                <w:rFonts w:ascii="Arial" w:hAnsi="Arial" w:cs="Arial"/>
              </w:rPr>
              <w:t xml:space="preserve"> Preference to employment has been set at 3</w:t>
            </w:r>
            <w:r>
              <w:rPr>
                <w:rFonts w:ascii="Arial" w:hAnsi="Arial" w:cs="Arial"/>
              </w:rPr>
              <w:t>2</w:t>
            </w:r>
            <w:r w:rsidRPr="72BB30B8">
              <w:rPr>
                <w:rFonts w:ascii="Arial" w:hAnsi="Arial" w:cs="Arial"/>
              </w:rPr>
              <w:t xml:space="preserve">% to reflect the employment rates of the community demographic. This is proportionate to the number of active applicants on Knowsley’s housing register that are in employment, however it is expected that the number of Knowsley residents is slightly higher as applicants are not required to provide this information, there are still </w:t>
            </w:r>
            <w:r>
              <w:rPr>
                <w:rFonts w:ascii="Arial" w:hAnsi="Arial" w:cs="Arial"/>
              </w:rPr>
              <w:t>68</w:t>
            </w:r>
            <w:r w:rsidRPr="72BB30B8">
              <w:rPr>
                <w:rFonts w:ascii="Arial" w:hAnsi="Arial" w:cs="Arial"/>
              </w:rPr>
              <w:t>% of properties for applicants who are not in employment can be considered for.</w:t>
            </w:r>
          </w:p>
        </w:tc>
      </w:tr>
      <w:tr w:rsidR="00145A99" w:rsidRPr="00B40C6E" w14:paraId="574CDA42" w14:textId="77777777" w:rsidTr="00145A99">
        <w:trPr>
          <w:trHeight w:val="428"/>
        </w:trPr>
        <w:tc>
          <w:tcPr>
            <w:tcW w:w="1413" w:type="dxa"/>
            <w:vMerge w:val="restart"/>
            <w:shd w:val="clear" w:color="auto" w:fill="DAE9F7" w:themeFill="text2" w:themeFillTint="1A"/>
          </w:tcPr>
          <w:p w14:paraId="27153F95" w14:textId="77777777" w:rsidR="00145A99" w:rsidRPr="00864F92" w:rsidRDefault="00145A99" w:rsidP="0043523D">
            <w:pPr>
              <w:rPr>
                <w:rFonts w:ascii="Arial" w:hAnsi="Arial" w:cs="Arial"/>
                <w:b/>
                <w:bCs/>
                <w:color w:val="0A1D30" w:themeColor="text2" w:themeShade="BF"/>
              </w:rPr>
            </w:pPr>
            <w:r w:rsidRPr="00864F92">
              <w:rPr>
                <w:rFonts w:ascii="Arial" w:hAnsi="Arial" w:cs="Arial"/>
                <w:b/>
                <w:bCs/>
                <w:color w:val="0A1D30" w:themeColor="text2" w:themeShade="BF"/>
              </w:rPr>
              <w:t>Any other area identified</w:t>
            </w:r>
          </w:p>
          <w:p w14:paraId="75350E91" w14:textId="77777777" w:rsidR="00145A99" w:rsidRPr="00864F92" w:rsidRDefault="00145A99" w:rsidP="0043523D">
            <w:pPr>
              <w:spacing w:before="240"/>
              <w:jc w:val="center"/>
              <w:rPr>
                <w:rFonts w:ascii="Arial" w:hAnsi="Arial" w:cs="Arial"/>
                <w:b/>
                <w:bCs/>
                <w:color w:val="0A1D30" w:themeColor="text2" w:themeShade="BF"/>
              </w:rPr>
            </w:pPr>
          </w:p>
        </w:tc>
        <w:tc>
          <w:tcPr>
            <w:tcW w:w="4555" w:type="dxa"/>
          </w:tcPr>
          <w:p w14:paraId="0F7CCFE8" w14:textId="77777777" w:rsidR="00145A99" w:rsidRDefault="00145A99" w:rsidP="0043523D">
            <w:pPr>
              <w:jc w:val="both"/>
              <w:rPr>
                <w:rFonts w:ascii="Arial" w:hAnsi="Arial" w:cs="Arial"/>
              </w:rPr>
            </w:pPr>
            <w:r>
              <w:rPr>
                <w:rFonts w:ascii="Arial" w:hAnsi="Arial" w:cs="Arial"/>
              </w:rPr>
              <w:t>Positive</w:t>
            </w:r>
          </w:p>
          <w:p w14:paraId="4240BB3E" w14:textId="77777777" w:rsidR="00145A99" w:rsidRPr="00B40C6E" w:rsidRDefault="00145A99" w:rsidP="0043523D">
            <w:pPr>
              <w:jc w:val="both"/>
              <w:rPr>
                <w:rFonts w:ascii="Arial" w:hAnsi="Arial" w:cs="Arial"/>
              </w:rPr>
            </w:pPr>
          </w:p>
        </w:tc>
        <w:tc>
          <w:tcPr>
            <w:tcW w:w="3666" w:type="dxa"/>
          </w:tcPr>
          <w:p w14:paraId="485C09B2" w14:textId="77777777" w:rsidR="00145A99" w:rsidRDefault="00145A99" w:rsidP="0043523D">
            <w:pPr>
              <w:jc w:val="both"/>
              <w:rPr>
                <w:rFonts w:ascii="Arial" w:hAnsi="Arial" w:cs="Arial"/>
              </w:rPr>
            </w:pPr>
            <w:r>
              <w:rPr>
                <w:rFonts w:ascii="Arial" w:hAnsi="Arial" w:cs="Arial"/>
              </w:rPr>
              <w:t>Negative</w:t>
            </w:r>
          </w:p>
          <w:p w14:paraId="0DECD925" w14:textId="77777777" w:rsidR="00145A99" w:rsidRDefault="00145A99" w:rsidP="0043523D">
            <w:pPr>
              <w:jc w:val="both"/>
              <w:rPr>
                <w:rFonts w:ascii="Arial" w:hAnsi="Arial" w:cs="Arial"/>
              </w:rPr>
            </w:pPr>
          </w:p>
          <w:p w14:paraId="52530DFF" w14:textId="77777777" w:rsidR="00145A99" w:rsidRPr="00B40C6E" w:rsidRDefault="00145A99" w:rsidP="0043523D">
            <w:pPr>
              <w:jc w:val="both"/>
              <w:rPr>
                <w:rFonts w:ascii="Arial" w:hAnsi="Arial" w:cs="Arial"/>
              </w:rPr>
            </w:pPr>
          </w:p>
        </w:tc>
      </w:tr>
      <w:tr w:rsidR="00145A99" w:rsidRPr="00B40C6E" w14:paraId="57CE9DFE" w14:textId="77777777" w:rsidTr="00145A99">
        <w:trPr>
          <w:trHeight w:val="427"/>
        </w:trPr>
        <w:tc>
          <w:tcPr>
            <w:tcW w:w="1413" w:type="dxa"/>
            <w:vMerge/>
            <w:shd w:val="clear" w:color="auto" w:fill="DAE9F7" w:themeFill="text2" w:themeFillTint="1A"/>
          </w:tcPr>
          <w:p w14:paraId="3A5E0206" w14:textId="77777777" w:rsidR="00145A99" w:rsidRPr="00B40C6E" w:rsidRDefault="00145A99" w:rsidP="0043523D">
            <w:pPr>
              <w:spacing w:before="240"/>
              <w:jc w:val="center"/>
              <w:rPr>
                <w:rFonts w:ascii="Arial" w:hAnsi="Arial" w:cs="Arial"/>
                <w:b/>
                <w:color w:val="501549" w:themeColor="accent5" w:themeShade="80"/>
                <w:lang w:val="en"/>
              </w:rPr>
            </w:pPr>
          </w:p>
        </w:tc>
        <w:tc>
          <w:tcPr>
            <w:tcW w:w="8221" w:type="dxa"/>
            <w:gridSpan w:val="2"/>
          </w:tcPr>
          <w:p w14:paraId="4380772C" w14:textId="77777777" w:rsidR="00145A99" w:rsidRPr="008703DC" w:rsidRDefault="00145A99" w:rsidP="0043523D">
            <w:pPr>
              <w:jc w:val="both"/>
              <w:rPr>
                <w:rFonts w:ascii="Arial" w:hAnsi="Arial" w:cs="Arial"/>
                <w:b/>
                <w:bCs/>
              </w:rPr>
            </w:pPr>
            <w:r w:rsidRPr="008703DC">
              <w:rPr>
                <w:rFonts w:ascii="Arial" w:hAnsi="Arial" w:cs="Arial"/>
                <w:b/>
                <w:bCs/>
              </w:rPr>
              <w:t xml:space="preserve">Actions to Mitigate Impact </w:t>
            </w:r>
          </w:p>
          <w:p w14:paraId="3268A867" w14:textId="77777777" w:rsidR="00145A99" w:rsidRPr="00CF3F5C" w:rsidRDefault="00145A99" w:rsidP="0043523D">
            <w:pPr>
              <w:jc w:val="both"/>
              <w:rPr>
                <w:rFonts w:ascii="Arial" w:hAnsi="Arial" w:cs="Arial"/>
              </w:rPr>
            </w:pPr>
          </w:p>
          <w:p w14:paraId="741153F4" w14:textId="77777777" w:rsidR="00145A99" w:rsidRPr="00B40C6E" w:rsidRDefault="00145A99" w:rsidP="0043523D">
            <w:pPr>
              <w:jc w:val="both"/>
              <w:rPr>
                <w:rFonts w:ascii="Arial" w:hAnsi="Arial" w:cs="Arial"/>
              </w:rPr>
            </w:pPr>
            <w:r w:rsidRPr="00CF3F5C">
              <w:rPr>
                <w:rFonts w:ascii="Arial" w:hAnsi="Arial" w:cs="Arial"/>
              </w:rPr>
              <w:t>We have a variety of support services available, both internally and with partners, to ensure that those who require additional support to access housing is available.</w:t>
            </w:r>
            <w:r>
              <w:t xml:space="preserve"> </w:t>
            </w:r>
          </w:p>
        </w:tc>
      </w:tr>
    </w:tbl>
    <w:p w14:paraId="2C8FF7E9" w14:textId="77777777" w:rsidR="00145A99" w:rsidRPr="0032405C" w:rsidRDefault="00145A99" w:rsidP="00145A99">
      <w:pPr>
        <w:rPr>
          <w:rFonts w:ascii="Arial" w:hAnsi="Arial" w:cs="Arial"/>
          <w:i/>
          <w:iCs/>
        </w:rPr>
      </w:pPr>
      <w:r w:rsidRPr="42334202">
        <w:rPr>
          <w:rFonts w:ascii="Arial" w:hAnsi="Arial" w:cs="Arial"/>
          <w:i/>
          <w:iCs/>
        </w:rPr>
        <w:t xml:space="preserve">*Socio-economic background is not a protected characteristic but should be considered as best practice. </w:t>
      </w:r>
    </w:p>
    <w:p w14:paraId="2A2668EF" w14:textId="77777777" w:rsidR="00145A99" w:rsidRDefault="00145A99" w:rsidP="00145A99">
      <w:pPr>
        <w:rPr>
          <w:rFonts w:ascii="Arial" w:hAnsi="Arial" w:cs="Arial"/>
          <w:b/>
          <w:sz w:val="24"/>
          <w:szCs w:val="24"/>
        </w:rPr>
      </w:pPr>
    </w:p>
    <w:p w14:paraId="1E9450A6" w14:textId="77777777" w:rsidR="00145A99" w:rsidRDefault="00145A99" w:rsidP="00145A99">
      <w:pPr>
        <w:rPr>
          <w:rFonts w:ascii="Arial" w:hAnsi="Arial" w:cs="Arial"/>
          <w:b/>
          <w:sz w:val="24"/>
          <w:szCs w:val="24"/>
        </w:rPr>
      </w:pPr>
    </w:p>
    <w:p w14:paraId="3AE6B025" w14:textId="77777777" w:rsidR="00145A99" w:rsidRPr="00B40C6E" w:rsidRDefault="00145A99" w:rsidP="00145A99">
      <w:pPr>
        <w:spacing w:before="240"/>
        <w:rPr>
          <w:rFonts w:ascii="Arial" w:hAnsi="Arial" w:cs="Arial"/>
          <w:b/>
          <w:sz w:val="24"/>
          <w:szCs w:val="24"/>
        </w:rPr>
      </w:pPr>
      <w:r w:rsidRPr="00B40C6E">
        <w:rPr>
          <w:rFonts w:ascii="Arial" w:hAnsi="Arial" w:cs="Arial"/>
          <w:b/>
          <w:sz w:val="24"/>
          <w:szCs w:val="24"/>
        </w:rPr>
        <w:t>Monitoring and review:</w:t>
      </w:r>
    </w:p>
    <w:tbl>
      <w:tblPr>
        <w:tblStyle w:val="TableGrid"/>
        <w:tblW w:w="9634" w:type="dxa"/>
        <w:tblLook w:val="04A0" w:firstRow="1" w:lastRow="0" w:firstColumn="1" w:lastColumn="0" w:noHBand="0" w:noVBand="1"/>
      </w:tblPr>
      <w:tblGrid>
        <w:gridCol w:w="4106"/>
        <w:gridCol w:w="5528"/>
      </w:tblGrid>
      <w:tr w:rsidR="00145A99" w:rsidRPr="00B40C6E" w14:paraId="2AAA5FF7" w14:textId="77777777" w:rsidTr="00145A99">
        <w:trPr>
          <w:trHeight w:val="567"/>
        </w:trPr>
        <w:tc>
          <w:tcPr>
            <w:tcW w:w="4106" w:type="dxa"/>
            <w:shd w:val="clear" w:color="auto" w:fill="DAE9F7" w:themeFill="text2" w:themeFillTint="1A"/>
            <w:vAlign w:val="center"/>
          </w:tcPr>
          <w:p w14:paraId="3F004BFD" w14:textId="77777777" w:rsidR="00145A99" w:rsidRPr="00B40C6E" w:rsidRDefault="00145A99" w:rsidP="0043523D">
            <w:pPr>
              <w:autoSpaceDE w:val="0"/>
              <w:autoSpaceDN w:val="0"/>
              <w:adjustRightInd w:val="0"/>
              <w:rPr>
                <w:rFonts w:ascii="Arial" w:hAnsi="Arial" w:cs="Arial"/>
                <w:b/>
                <w:bCs/>
                <w:color w:val="501549" w:themeColor="accent5" w:themeShade="80"/>
              </w:rPr>
            </w:pPr>
            <w:r w:rsidRPr="00B40C6E">
              <w:rPr>
                <w:rFonts w:ascii="Arial" w:hAnsi="Arial" w:cs="Arial"/>
                <w:b/>
                <w:color w:val="501549" w:themeColor="accent5" w:themeShade="80"/>
              </w:rPr>
              <w:t>Date completed:</w:t>
            </w:r>
          </w:p>
        </w:tc>
        <w:tc>
          <w:tcPr>
            <w:tcW w:w="5528" w:type="dxa"/>
            <w:vAlign w:val="center"/>
          </w:tcPr>
          <w:p w14:paraId="09700CDE" w14:textId="77777777" w:rsidR="00145A99" w:rsidRPr="00B40C6E" w:rsidRDefault="00145A99" w:rsidP="0043523D">
            <w:pPr>
              <w:rPr>
                <w:rFonts w:ascii="Arial" w:hAnsi="Arial" w:cs="Arial"/>
                <w:b/>
              </w:rPr>
            </w:pPr>
            <w:r>
              <w:rPr>
                <w:rFonts w:ascii="Arial" w:hAnsi="Arial" w:cs="Arial"/>
                <w:b/>
              </w:rPr>
              <w:t>30/05/2024</w:t>
            </w:r>
          </w:p>
        </w:tc>
      </w:tr>
      <w:tr w:rsidR="00145A99" w:rsidRPr="00B40C6E" w14:paraId="1CB36044" w14:textId="77777777" w:rsidTr="00145A99">
        <w:trPr>
          <w:trHeight w:val="567"/>
        </w:trPr>
        <w:tc>
          <w:tcPr>
            <w:tcW w:w="4106" w:type="dxa"/>
            <w:shd w:val="clear" w:color="auto" w:fill="DAE9F7" w:themeFill="text2" w:themeFillTint="1A"/>
            <w:vAlign w:val="center"/>
          </w:tcPr>
          <w:p w14:paraId="65304CDD" w14:textId="77777777" w:rsidR="00145A99" w:rsidRPr="00B40C6E" w:rsidRDefault="00145A99" w:rsidP="0043523D">
            <w:pPr>
              <w:pStyle w:val="TableParagraph"/>
              <w:rPr>
                <w:rFonts w:ascii="Arial" w:hAnsi="Arial" w:cs="Arial"/>
                <w:b/>
                <w:color w:val="501549" w:themeColor="accent5" w:themeShade="80"/>
              </w:rPr>
            </w:pPr>
            <w:r w:rsidRPr="00B40C6E">
              <w:rPr>
                <w:rFonts w:ascii="Arial" w:hAnsi="Arial" w:cs="Arial"/>
                <w:b/>
                <w:color w:val="501549" w:themeColor="accent5" w:themeShade="80"/>
              </w:rPr>
              <w:t>How will you monitor the impact of your project once it has been put into effect?</w:t>
            </w:r>
          </w:p>
        </w:tc>
        <w:tc>
          <w:tcPr>
            <w:tcW w:w="5528" w:type="dxa"/>
            <w:vAlign w:val="center"/>
          </w:tcPr>
          <w:p w14:paraId="090194BA" w14:textId="77777777" w:rsidR="00145A99" w:rsidRPr="008703DC" w:rsidRDefault="00145A99" w:rsidP="0043523D">
            <w:pPr>
              <w:rPr>
                <w:rFonts w:ascii="Arial" w:hAnsi="Arial" w:cs="Arial"/>
                <w:bCs/>
              </w:rPr>
            </w:pPr>
            <w:r>
              <w:rPr>
                <w:rFonts w:ascii="Arial" w:hAnsi="Arial" w:cs="Arial"/>
                <w:bCs/>
              </w:rPr>
              <w:t xml:space="preserve">Onward will ensure it complies with the terms of the LLP as agreed with Knowsley. </w:t>
            </w:r>
          </w:p>
        </w:tc>
      </w:tr>
      <w:tr w:rsidR="00145A99" w:rsidRPr="00B40C6E" w14:paraId="663DD7C6" w14:textId="77777777" w:rsidTr="00145A99">
        <w:trPr>
          <w:trHeight w:val="567"/>
        </w:trPr>
        <w:tc>
          <w:tcPr>
            <w:tcW w:w="4106" w:type="dxa"/>
            <w:shd w:val="clear" w:color="auto" w:fill="DAE9F7" w:themeFill="text2" w:themeFillTint="1A"/>
            <w:vAlign w:val="center"/>
          </w:tcPr>
          <w:p w14:paraId="2880C920" w14:textId="77777777" w:rsidR="00145A99" w:rsidRPr="00B40C6E" w:rsidRDefault="00145A99" w:rsidP="0043523D">
            <w:pPr>
              <w:autoSpaceDE w:val="0"/>
              <w:autoSpaceDN w:val="0"/>
              <w:adjustRightInd w:val="0"/>
              <w:rPr>
                <w:rFonts w:ascii="Arial" w:hAnsi="Arial" w:cs="Arial"/>
                <w:b/>
                <w:bCs/>
                <w:color w:val="501549" w:themeColor="accent5" w:themeShade="80"/>
              </w:rPr>
            </w:pPr>
            <w:r w:rsidRPr="00B40C6E">
              <w:rPr>
                <w:rFonts w:ascii="Arial" w:hAnsi="Arial" w:cs="Arial"/>
                <w:b/>
                <w:bCs/>
                <w:color w:val="501549" w:themeColor="accent5" w:themeShade="80"/>
              </w:rPr>
              <w:t xml:space="preserve">Review date </w:t>
            </w:r>
            <w:r w:rsidRPr="00B40C6E">
              <w:rPr>
                <w:rFonts w:ascii="Arial" w:hAnsi="Arial" w:cs="Arial"/>
                <w:color w:val="501549" w:themeColor="accent5" w:themeShade="80"/>
              </w:rPr>
              <w:t>(if applicable):</w:t>
            </w:r>
          </w:p>
        </w:tc>
        <w:tc>
          <w:tcPr>
            <w:tcW w:w="5528" w:type="dxa"/>
            <w:vAlign w:val="center"/>
          </w:tcPr>
          <w:p w14:paraId="6FB0A1D8" w14:textId="77777777" w:rsidR="00145A99" w:rsidRPr="00B40C6E" w:rsidRDefault="00145A99" w:rsidP="0043523D">
            <w:pPr>
              <w:rPr>
                <w:rFonts w:ascii="Arial" w:hAnsi="Arial" w:cs="Arial"/>
                <w:color w:val="501549" w:themeColor="accent5" w:themeShade="80"/>
              </w:rPr>
            </w:pPr>
            <w:r w:rsidRPr="002D4C9B">
              <w:rPr>
                <w:rFonts w:ascii="Arial" w:hAnsi="Arial" w:cs="Arial"/>
              </w:rPr>
              <w:t xml:space="preserve">In line with LLP review </w:t>
            </w:r>
          </w:p>
        </w:tc>
      </w:tr>
    </w:tbl>
    <w:p w14:paraId="180A0248" w14:textId="77777777" w:rsidR="00145A99" w:rsidRPr="00CF4F18" w:rsidRDefault="00145A99" w:rsidP="00685464">
      <w:pPr>
        <w:pStyle w:val="ListParagraph"/>
        <w:ind w:left="0"/>
        <w:rPr>
          <w:rFonts w:ascii="Calibri" w:hAnsi="Calibri" w:cs="Calibri"/>
        </w:rPr>
      </w:pPr>
    </w:p>
    <w:sectPr w:rsidR="00145A99" w:rsidRPr="00CF4F18" w:rsidSect="009F6D29">
      <w:headerReference w:type="even" r:id="rId10"/>
      <w:headerReference w:type="default" r:id="rId11"/>
      <w:footerReference w:type="even" r:id="rId12"/>
      <w:footerReference w:type="default" r:id="rId13"/>
      <w:headerReference w:type="first" r:id="rId14"/>
      <w:footerReference w:type="first" r:id="rId15"/>
      <w:pgSz w:w="11900" w:h="16832" w:code="9"/>
      <w:pgMar w:top="1213" w:right="1128" w:bottom="1803" w:left="1440" w:header="646" w:footer="646"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CE5" w14:textId="77777777" w:rsidR="003A17BB" w:rsidRDefault="003A17BB" w:rsidP="003A3D97">
      <w:r>
        <w:separator/>
      </w:r>
    </w:p>
  </w:endnote>
  <w:endnote w:type="continuationSeparator" w:id="0">
    <w:p w14:paraId="6425EBD3" w14:textId="77777777" w:rsidR="003A17BB" w:rsidRDefault="003A17BB" w:rsidP="003A3D97">
      <w:r>
        <w:continuationSeparator/>
      </w:r>
    </w:p>
  </w:endnote>
  <w:endnote w:type="continuationNotice" w:id="1">
    <w:p w14:paraId="0E639483" w14:textId="77777777" w:rsidR="003A17BB" w:rsidRDefault="003A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ilsonProBook">
    <w:charset w:val="4D"/>
    <w:family w:val="auto"/>
    <w:pitch w:val="variable"/>
    <w:sig w:usb0="A00000AF" w:usb1="5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7BAA" w14:textId="77777777" w:rsidR="007A2464" w:rsidRDefault="007A2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B332" w14:textId="77777777" w:rsidR="003A3D97" w:rsidRPr="003A3D97" w:rsidRDefault="003A3D97" w:rsidP="003A3D97">
    <w:pPr>
      <w:spacing w:line="150" w:lineRule="atLeast"/>
      <w:rPr>
        <w:rFonts w:cs="Calibr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A291" w14:textId="36E38A96" w:rsidR="0065086C" w:rsidRDefault="00611B5E">
    <w:pPr>
      <w:pStyle w:val="Footer"/>
    </w:pPr>
    <w:r>
      <w:rPr>
        <w:noProof/>
      </w:rPr>
      <mc:AlternateContent>
        <mc:Choice Requires="wps">
          <w:drawing>
            <wp:anchor distT="0" distB="0" distL="114300" distR="114300" simplePos="0" relativeHeight="251658241" behindDoc="0" locked="0" layoutInCell="1" allowOverlap="1" wp14:anchorId="5FA99C66" wp14:editId="186A08E2">
              <wp:simplePos x="0" y="0"/>
              <wp:positionH relativeFrom="column">
                <wp:posOffset>-571500</wp:posOffset>
              </wp:positionH>
              <wp:positionV relativeFrom="paragraph">
                <wp:posOffset>-657225</wp:posOffset>
              </wp:positionV>
              <wp:extent cx="1600200" cy="992505"/>
              <wp:effectExtent l="0" t="0" r="0" b="0"/>
              <wp:wrapNone/>
              <wp:docPr id="335855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992505"/>
                      </a:xfrm>
                      <a:prstGeom prst="rect">
                        <a:avLst/>
                      </a:prstGeom>
                      <a:noFill/>
                      <a:ln>
                        <a:noFill/>
                      </a:ln>
                      <a:effectLst/>
                    </wps:spPr>
                    <wps:txbx>
                      <w:txbxContent>
                        <w:p w14:paraId="5A88B054" w14:textId="77777777" w:rsidR="00F93559" w:rsidRPr="00883773" w:rsidRDefault="00F93559" w:rsidP="00F93559">
                          <w:pPr>
                            <w:widowControl w:val="0"/>
                            <w:autoSpaceDE w:val="0"/>
                            <w:autoSpaceDN w:val="0"/>
                            <w:adjustRightInd w:val="0"/>
                            <w:rPr>
                              <w:rFonts w:ascii="Arial" w:hAnsi="Arial" w:cs="Arial"/>
                              <w:color w:val="A6A6A6"/>
                              <w:sz w:val="18"/>
                              <w:szCs w:val="18"/>
                            </w:rPr>
                          </w:pPr>
                          <w:r w:rsidRPr="00883773">
                            <w:rPr>
                              <w:rFonts w:ascii="Arial" w:hAnsi="Arial" w:cs="Arial"/>
                              <w:color w:val="A6A6A6"/>
                              <w:sz w:val="18"/>
                              <w:szCs w:val="18"/>
                            </w:rPr>
                            <w:t>Renaissance Court</w:t>
                          </w:r>
                        </w:p>
                        <w:p w14:paraId="48E15C75" w14:textId="77777777" w:rsidR="00F93559" w:rsidRPr="00883773" w:rsidRDefault="00F93559" w:rsidP="00F93559">
                          <w:pPr>
                            <w:widowControl w:val="0"/>
                            <w:autoSpaceDE w:val="0"/>
                            <w:autoSpaceDN w:val="0"/>
                            <w:adjustRightInd w:val="0"/>
                            <w:rPr>
                              <w:rFonts w:ascii="Arial" w:hAnsi="Arial" w:cs="Arial"/>
                              <w:color w:val="A6A6A6"/>
                              <w:sz w:val="18"/>
                              <w:szCs w:val="18"/>
                            </w:rPr>
                          </w:pPr>
                          <w:r w:rsidRPr="00883773">
                            <w:rPr>
                              <w:rFonts w:ascii="Arial" w:hAnsi="Arial" w:cs="Arial"/>
                              <w:color w:val="A6A6A6"/>
                              <w:sz w:val="18"/>
                              <w:szCs w:val="18"/>
                            </w:rPr>
                            <w:t>2 Christie Way</w:t>
                          </w:r>
                        </w:p>
                        <w:p w14:paraId="08A4DB76" w14:textId="77777777" w:rsidR="00F93559" w:rsidRDefault="00F93559" w:rsidP="00F93559">
                          <w:pPr>
                            <w:widowControl w:val="0"/>
                            <w:autoSpaceDE w:val="0"/>
                            <w:autoSpaceDN w:val="0"/>
                            <w:adjustRightInd w:val="0"/>
                            <w:rPr>
                              <w:rFonts w:ascii="Arial" w:hAnsi="Arial" w:cs="Arial"/>
                              <w:color w:val="A6A6A6"/>
                              <w:sz w:val="18"/>
                              <w:szCs w:val="18"/>
                            </w:rPr>
                          </w:pPr>
                          <w:r w:rsidRPr="00883773">
                            <w:rPr>
                              <w:rFonts w:ascii="Arial" w:hAnsi="Arial" w:cs="Arial"/>
                              <w:color w:val="A6A6A6"/>
                              <w:sz w:val="18"/>
                              <w:szCs w:val="18"/>
                            </w:rPr>
                            <w:t>Manchester</w:t>
                          </w:r>
                          <w:r>
                            <w:rPr>
                              <w:rFonts w:ascii="Arial" w:hAnsi="Arial" w:cs="Arial"/>
                              <w:color w:val="A6A6A6"/>
                              <w:sz w:val="18"/>
                              <w:szCs w:val="18"/>
                            </w:rPr>
                            <w:t xml:space="preserve"> </w:t>
                          </w:r>
                          <w:r w:rsidRPr="00883773">
                            <w:rPr>
                              <w:rFonts w:ascii="Arial" w:hAnsi="Arial" w:cs="Arial"/>
                              <w:color w:val="A6A6A6"/>
                              <w:sz w:val="18"/>
                              <w:szCs w:val="18"/>
                            </w:rPr>
                            <w:t>M21 7QY</w:t>
                          </w:r>
                        </w:p>
                        <w:p w14:paraId="3783E102" w14:textId="77777777" w:rsidR="00B30DA7" w:rsidRDefault="00B30DA7" w:rsidP="00F93559">
                          <w:pPr>
                            <w:widowControl w:val="0"/>
                            <w:autoSpaceDE w:val="0"/>
                            <w:autoSpaceDN w:val="0"/>
                            <w:adjustRightInd w:val="0"/>
                            <w:rPr>
                              <w:rFonts w:ascii="Arial" w:hAnsi="Arial" w:cs="Arial"/>
                              <w:color w:val="A6A6A6"/>
                              <w:sz w:val="18"/>
                              <w:szCs w:val="18"/>
                            </w:rPr>
                          </w:pPr>
                        </w:p>
                        <w:p w14:paraId="595BEAD5" w14:textId="77777777" w:rsidR="00B30DA7" w:rsidRPr="00E22E74" w:rsidRDefault="00B30DA7" w:rsidP="00B30DA7">
                          <w:pPr>
                            <w:spacing w:line="360" w:lineRule="auto"/>
                            <w:rPr>
                              <w:rFonts w:ascii="Arial" w:hAnsi="Arial" w:cs="Arial"/>
                              <w:color w:val="A6A6A6"/>
                              <w:sz w:val="18"/>
                              <w:szCs w:val="18"/>
                            </w:rPr>
                          </w:pPr>
                          <w:r w:rsidRPr="00E22E74">
                            <w:rPr>
                              <w:rFonts w:ascii="Arial" w:hAnsi="Arial" w:cs="Arial"/>
                              <w:color w:val="A6A6A6"/>
                              <w:sz w:val="18"/>
                              <w:szCs w:val="18"/>
                            </w:rPr>
                            <w:t>onward.co.uk</w:t>
                          </w:r>
                        </w:p>
                        <w:p w14:paraId="364CD6CE" w14:textId="77777777" w:rsidR="00B30DA7" w:rsidRPr="00E22E74" w:rsidRDefault="00B30DA7" w:rsidP="00B30DA7">
                          <w:pPr>
                            <w:spacing w:line="360" w:lineRule="auto"/>
                            <w:rPr>
                              <w:color w:val="A6A6A6"/>
                              <w:sz w:val="18"/>
                              <w:szCs w:val="18"/>
                            </w:rPr>
                          </w:pPr>
                          <w:r w:rsidRPr="00E22E74">
                            <w:rPr>
                              <w:rFonts w:ascii="Arial" w:hAnsi="Arial" w:cs="Arial"/>
                              <w:color w:val="A6A6A6"/>
                              <w:sz w:val="18"/>
                              <w:szCs w:val="18"/>
                            </w:rPr>
                            <w:t>0300 555 0600</w:t>
                          </w:r>
                        </w:p>
                        <w:p w14:paraId="3CD9661E" w14:textId="77777777" w:rsidR="00B30DA7" w:rsidRDefault="00B30DA7" w:rsidP="00F93559">
                          <w:pPr>
                            <w:widowControl w:val="0"/>
                            <w:autoSpaceDE w:val="0"/>
                            <w:autoSpaceDN w:val="0"/>
                            <w:adjustRightInd w:val="0"/>
                            <w:rPr>
                              <w:rFonts w:ascii="Arial" w:hAnsi="Arial" w:cs="Arial"/>
                              <w:color w:val="A6A6A6"/>
                              <w:sz w:val="18"/>
                              <w:szCs w:val="18"/>
                            </w:rPr>
                          </w:pPr>
                        </w:p>
                        <w:p w14:paraId="7B2F5919" w14:textId="77777777" w:rsidR="00D956E1" w:rsidRPr="003A3D97" w:rsidRDefault="00D956E1" w:rsidP="004329D8">
                          <w:pPr>
                            <w:rPr>
                              <w:color w:val="8080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99C66" id="_x0000_t202" coordsize="21600,21600" o:spt="202" path="m,l,21600r21600,l21600,xe">
              <v:stroke joinstyle="miter"/>
              <v:path gradientshapeok="t" o:connecttype="rect"/>
            </v:shapetype>
            <v:shape id="Text Box 2" o:spid="_x0000_s1026" type="#_x0000_t202" style="position:absolute;margin-left:-45pt;margin-top:-51.75pt;width:126pt;height:7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" filled="f" stroked="f">
              <v:textbox>
                <w:txbxContent>
                  <w:p w14:paraId="5A88B054" w14:textId="77777777" w:rsidR="00F93559" w:rsidRPr="00883773" w:rsidRDefault="00F93559" w:rsidP="00F93559">
                    <w:pPr>
                      <w:widowControl w:val="0"/>
                      <w:autoSpaceDE w:val="0"/>
                      <w:autoSpaceDN w:val="0"/>
                      <w:adjustRightInd w:val="0"/>
                      <w:rPr>
                        <w:rFonts w:ascii="Arial" w:hAnsi="Arial" w:cs="Arial"/>
                        <w:color w:val="A6A6A6"/>
                        <w:sz w:val="18"/>
                        <w:szCs w:val="18"/>
                      </w:rPr>
                    </w:pPr>
                    <w:r w:rsidRPr="00883773">
                      <w:rPr>
                        <w:rFonts w:ascii="Arial" w:hAnsi="Arial" w:cs="Arial"/>
                        <w:color w:val="A6A6A6"/>
                        <w:sz w:val="18"/>
                        <w:szCs w:val="18"/>
                      </w:rPr>
                      <w:t>Renaissance Court</w:t>
                    </w:r>
                  </w:p>
                  <w:p w14:paraId="48E15C75" w14:textId="77777777" w:rsidR="00F93559" w:rsidRPr="00883773" w:rsidRDefault="00F93559" w:rsidP="00F93559">
                    <w:pPr>
                      <w:widowControl w:val="0"/>
                      <w:autoSpaceDE w:val="0"/>
                      <w:autoSpaceDN w:val="0"/>
                      <w:adjustRightInd w:val="0"/>
                      <w:rPr>
                        <w:rFonts w:ascii="Arial" w:hAnsi="Arial" w:cs="Arial"/>
                        <w:color w:val="A6A6A6"/>
                        <w:sz w:val="18"/>
                        <w:szCs w:val="18"/>
                      </w:rPr>
                    </w:pPr>
                    <w:r w:rsidRPr="00883773">
                      <w:rPr>
                        <w:rFonts w:ascii="Arial" w:hAnsi="Arial" w:cs="Arial"/>
                        <w:color w:val="A6A6A6"/>
                        <w:sz w:val="18"/>
                        <w:szCs w:val="18"/>
                      </w:rPr>
                      <w:t>2 Christie Way</w:t>
                    </w:r>
                  </w:p>
                  <w:p w14:paraId="08A4DB76" w14:textId="77777777" w:rsidR="00F93559" w:rsidRDefault="00F93559" w:rsidP="00F93559">
                    <w:pPr>
                      <w:widowControl w:val="0"/>
                      <w:autoSpaceDE w:val="0"/>
                      <w:autoSpaceDN w:val="0"/>
                      <w:adjustRightInd w:val="0"/>
                      <w:rPr>
                        <w:rFonts w:ascii="Arial" w:hAnsi="Arial" w:cs="Arial"/>
                        <w:color w:val="A6A6A6"/>
                        <w:sz w:val="18"/>
                        <w:szCs w:val="18"/>
                      </w:rPr>
                    </w:pPr>
                    <w:r w:rsidRPr="00883773">
                      <w:rPr>
                        <w:rFonts w:ascii="Arial" w:hAnsi="Arial" w:cs="Arial"/>
                        <w:color w:val="A6A6A6"/>
                        <w:sz w:val="18"/>
                        <w:szCs w:val="18"/>
                      </w:rPr>
                      <w:t>Manchester</w:t>
                    </w:r>
                    <w:r>
                      <w:rPr>
                        <w:rFonts w:ascii="Arial" w:hAnsi="Arial" w:cs="Arial"/>
                        <w:color w:val="A6A6A6"/>
                        <w:sz w:val="18"/>
                        <w:szCs w:val="18"/>
                      </w:rPr>
                      <w:t xml:space="preserve"> </w:t>
                    </w:r>
                    <w:r w:rsidRPr="00883773">
                      <w:rPr>
                        <w:rFonts w:ascii="Arial" w:hAnsi="Arial" w:cs="Arial"/>
                        <w:color w:val="A6A6A6"/>
                        <w:sz w:val="18"/>
                        <w:szCs w:val="18"/>
                      </w:rPr>
                      <w:t>M21 7QY</w:t>
                    </w:r>
                  </w:p>
                  <w:p w14:paraId="3783E102" w14:textId="77777777" w:rsidR="00B30DA7" w:rsidRDefault="00B30DA7" w:rsidP="00F93559">
                    <w:pPr>
                      <w:widowControl w:val="0"/>
                      <w:autoSpaceDE w:val="0"/>
                      <w:autoSpaceDN w:val="0"/>
                      <w:adjustRightInd w:val="0"/>
                      <w:rPr>
                        <w:rFonts w:ascii="Arial" w:hAnsi="Arial" w:cs="Arial"/>
                        <w:color w:val="A6A6A6"/>
                        <w:sz w:val="18"/>
                        <w:szCs w:val="18"/>
                      </w:rPr>
                    </w:pPr>
                  </w:p>
                  <w:p w14:paraId="595BEAD5" w14:textId="77777777" w:rsidR="00B30DA7" w:rsidRPr="00E22E74" w:rsidRDefault="00B30DA7" w:rsidP="00B30DA7">
                    <w:pPr>
                      <w:spacing w:line="360" w:lineRule="auto"/>
                      <w:rPr>
                        <w:rFonts w:ascii="Arial" w:hAnsi="Arial" w:cs="Arial"/>
                        <w:color w:val="A6A6A6"/>
                        <w:sz w:val="18"/>
                        <w:szCs w:val="18"/>
                      </w:rPr>
                    </w:pPr>
                    <w:r w:rsidRPr="00E22E74">
                      <w:rPr>
                        <w:rFonts w:ascii="Arial" w:hAnsi="Arial" w:cs="Arial"/>
                        <w:color w:val="A6A6A6"/>
                        <w:sz w:val="18"/>
                        <w:szCs w:val="18"/>
                      </w:rPr>
                      <w:t>onward.co.uk</w:t>
                    </w:r>
                  </w:p>
                  <w:p w14:paraId="364CD6CE" w14:textId="77777777" w:rsidR="00B30DA7" w:rsidRPr="00E22E74" w:rsidRDefault="00B30DA7" w:rsidP="00B30DA7">
                    <w:pPr>
                      <w:spacing w:line="360" w:lineRule="auto"/>
                      <w:rPr>
                        <w:color w:val="A6A6A6"/>
                        <w:sz w:val="18"/>
                        <w:szCs w:val="18"/>
                      </w:rPr>
                    </w:pPr>
                    <w:r w:rsidRPr="00E22E74">
                      <w:rPr>
                        <w:rFonts w:ascii="Arial" w:hAnsi="Arial" w:cs="Arial"/>
                        <w:color w:val="A6A6A6"/>
                        <w:sz w:val="18"/>
                        <w:szCs w:val="18"/>
                      </w:rPr>
                      <w:t>0300 555 0600</w:t>
                    </w:r>
                  </w:p>
                  <w:p w14:paraId="3CD9661E" w14:textId="77777777" w:rsidR="00B30DA7" w:rsidRDefault="00B30DA7" w:rsidP="00F93559">
                    <w:pPr>
                      <w:widowControl w:val="0"/>
                      <w:autoSpaceDE w:val="0"/>
                      <w:autoSpaceDN w:val="0"/>
                      <w:adjustRightInd w:val="0"/>
                      <w:rPr>
                        <w:rFonts w:ascii="Arial" w:hAnsi="Arial" w:cs="Arial"/>
                        <w:color w:val="A6A6A6"/>
                        <w:sz w:val="18"/>
                        <w:szCs w:val="18"/>
                      </w:rPr>
                    </w:pPr>
                  </w:p>
                  <w:p w14:paraId="7B2F5919" w14:textId="77777777" w:rsidR="00D956E1" w:rsidRPr="003A3D97" w:rsidRDefault="00D956E1" w:rsidP="004329D8">
                    <w:pPr>
                      <w:rPr>
                        <w:color w:val="808080"/>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8E1D3D8" wp14:editId="2CBFDC1C">
              <wp:simplePos x="0" y="0"/>
              <wp:positionH relativeFrom="column">
                <wp:posOffset>3251835</wp:posOffset>
              </wp:positionH>
              <wp:positionV relativeFrom="paragraph">
                <wp:posOffset>-654050</wp:posOffset>
              </wp:positionV>
              <wp:extent cx="3169920" cy="1038225"/>
              <wp:effectExtent l="0" t="0" r="0" b="0"/>
              <wp:wrapNone/>
              <wp:docPr id="2173114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69920" cy="1038225"/>
                      </a:xfrm>
                      <a:prstGeom prst="rect">
                        <a:avLst/>
                      </a:prstGeom>
                      <a:noFill/>
                      <a:ln>
                        <a:noFill/>
                      </a:ln>
                      <a:effectLst/>
                    </wps:spPr>
                    <wps:txbx>
                      <w:txbxContent>
                        <w:p w14:paraId="7ED9782A" w14:textId="77777777" w:rsidR="003F5B8E" w:rsidRDefault="00B05A4F" w:rsidP="00D956E1">
                          <w:pPr>
                            <w:rPr>
                              <w:rFonts w:ascii="Arial" w:eastAsia="MS Mincho" w:hAnsi="Arial" w:cs="Arial"/>
                              <w:color w:val="A6A6A6"/>
                              <w:sz w:val="13"/>
                              <w:szCs w:val="13"/>
                            </w:rPr>
                          </w:pPr>
                          <w:bookmarkStart w:id="1" w:name="_Hlk81473538"/>
                          <w:bookmarkStart w:id="2" w:name="_Hlk81473539"/>
                          <w:r w:rsidRPr="00B05A4F">
                            <w:rPr>
                              <w:rFonts w:ascii="Arial" w:eastAsia="MS Mincho" w:hAnsi="Arial" w:cs="Arial"/>
                              <w:color w:val="A6A6A6"/>
                              <w:sz w:val="13"/>
                              <w:szCs w:val="13"/>
                            </w:rPr>
                            <w:t>Onward</w:t>
                          </w:r>
                          <w:r w:rsidR="003F5B8E">
                            <w:rPr>
                              <w:rFonts w:ascii="Arial" w:eastAsia="MS Mincho" w:hAnsi="Arial" w:cs="Arial"/>
                              <w:color w:val="A6A6A6"/>
                              <w:sz w:val="13"/>
                              <w:szCs w:val="13"/>
                            </w:rPr>
                            <w:t xml:space="preserve"> is a trading name of:</w:t>
                          </w:r>
                        </w:p>
                        <w:p w14:paraId="77E3E063" w14:textId="77777777" w:rsidR="00B30DA7" w:rsidRDefault="003F5B8E" w:rsidP="00243C55">
                          <w:pPr>
                            <w:numPr>
                              <w:ilvl w:val="0"/>
                              <w:numId w:val="2"/>
                            </w:numPr>
                            <w:rPr>
                              <w:rFonts w:ascii="Arial" w:eastAsia="MS Mincho" w:hAnsi="Arial" w:cs="Arial"/>
                              <w:color w:val="A6A6A6"/>
                              <w:sz w:val="13"/>
                              <w:szCs w:val="13"/>
                            </w:rPr>
                          </w:pPr>
                          <w:r>
                            <w:rPr>
                              <w:rFonts w:ascii="Arial" w:eastAsia="MS Mincho" w:hAnsi="Arial" w:cs="Arial"/>
                              <w:color w:val="A6A6A6"/>
                              <w:sz w:val="13"/>
                              <w:szCs w:val="13"/>
                            </w:rPr>
                            <w:t>Onward</w:t>
                          </w:r>
                          <w:r w:rsidR="00B05A4F" w:rsidRPr="00B05A4F">
                            <w:rPr>
                              <w:rFonts w:ascii="Arial" w:eastAsia="MS Mincho" w:hAnsi="Arial" w:cs="Arial"/>
                              <w:color w:val="A6A6A6"/>
                              <w:sz w:val="13"/>
                              <w:szCs w:val="13"/>
                            </w:rPr>
                            <w:t xml:space="preserve"> Group Limited</w:t>
                          </w:r>
                          <w:r>
                            <w:rPr>
                              <w:rFonts w:ascii="Arial" w:eastAsia="MS Mincho" w:hAnsi="Arial" w:cs="Arial"/>
                              <w:color w:val="A6A6A6"/>
                              <w:sz w:val="13"/>
                              <w:szCs w:val="13"/>
                            </w:rPr>
                            <w:t>,</w:t>
                          </w:r>
                          <w:r w:rsidR="00B05A4F" w:rsidRPr="00B05A4F">
                            <w:rPr>
                              <w:rFonts w:ascii="Arial" w:eastAsia="MS Mincho" w:hAnsi="Arial" w:cs="Arial"/>
                              <w:color w:val="A6A6A6"/>
                              <w:sz w:val="13"/>
                              <w:szCs w:val="13"/>
                            </w:rPr>
                            <w:t xml:space="preserve"> a </w:t>
                          </w:r>
                          <w:r>
                            <w:rPr>
                              <w:rFonts w:ascii="Arial" w:eastAsia="MS Mincho" w:hAnsi="Arial" w:cs="Arial"/>
                              <w:color w:val="A6A6A6"/>
                              <w:sz w:val="13"/>
                              <w:szCs w:val="13"/>
                            </w:rPr>
                            <w:t>community benefit</w:t>
                          </w:r>
                          <w:r w:rsidR="00B05A4F" w:rsidRPr="00B05A4F">
                            <w:rPr>
                              <w:rFonts w:ascii="Arial" w:eastAsia="MS Mincho" w:hAnsi="Arial" w:cs="Arial"/>
                              <w:color w:val="A6A6A6"/>
                              <w:sz w:val="13"/>
                              <w:szCs w:val="13"/>
                            </w:rPr>
                            <w:t xml:space="preserve"> society </w:t>
                          </w:r>
                          <w:r>
                            <w:rPr>
                              <w:rFonts w:ascii="Arial" w:eastAsia="MS Mincho" w:hAnsi="Arial" w:cs="Arial"/>
                              <w:color w:val="A6A6A6"/>
                              <w:sz w:val="13"/>
                              <w:szCs w:val="13"/>
                            </w:rPr>
                            <w:t>r</w:t>
                          </w:r>
                          <w:r w:rsidR="00B05A4F" w:rsidRPr="00B05A4F">
                            <w:rPr>
                              <w:rFonts w:ascii="Arial" w:eastAsia="MS Mincho" w:hAnsi="Arial" w:cs="Arial"/>
                              <w:color w:val="A6A6A6"/>
                              <w:sz w:val="13"/>
                              <w:szCs w:val="13"/>
                            </w:rPr>
                            <w:t xml:space="preserve">egistration </w:t>
                          </w:r>
                        </w:p>
                        <w:p w14:paraId="7C241CFD" w14:textId="77777777" w:rsidR="003F5B8E" w:rsidRDefault="003F5B8E" w:rsidP="00B30DA7">
                          <w:pPr>
                            <w:ind w:left="360"/>
                            <w:rPr>
                              <w:rFonts w:ascii="Arial" w:eastAsia="MS Mincho" w:hAnsi="Arial" w:cs="Arial"/>
                              <w:color w:val="A6A6A6"/>
                              <w:sz w:val="13"/>
                              <w:szCs w:val="13"/>
                            </w:rPr>
                          </w:pPr>
                          <w:r>
                            <w:rPr>
                              <w:rFonts w:ascii="Arial" w:eastAsia="MS Mincho" w:hAnsi="Arial" w:cs="Arial"/>
                              <w:color w:val="A6A6A6"/>
                              <w:sz w:val="13"/>
                              <w:szCs w:val="13"/>
                            </w:rPr>
                            <w:t>n</w:t>
                          </w:r>
                          <w:r w:rsidR="00B05A4F" w:rsidRPr="00B05A4F">
                            <w:rPr>
                              <w:rFonts w:ascii="Arial" w:eastAsia="MS Mincho" w:hAnsi="Arial" w:cs="Arial"/>
                              <w:color w:val="A6A6A6"/>
                              <w:sz w:val="13"/>
                              <w:szCs w:val="13"/>
                            </w:rPr>
                            <w:t xml:space="preserve">o. 31216R </w:t>
                          </w:r>
                          <w:r>
                            <w:rPr>
                              <w:rFonts w:ascii="Arial" w:eastAsia="MS Mincho" w:hAnsi="Arial" w:cs="Arial"/>
                              <w:color w:val="A6A6A6"/>
                              <w:sz w:val="13"/>
                              <w:szCs w:val="13"/>
                            </w:rPr>
                            <w:t>Registered Provider</w:t>
                          </w:r>
                          <w:r w:rsidR="00B05A4F" w:rsidRPr="00B05A4F">
                            <w:rPr>
                              <w:rFonts w:ascii="Arial" w:eastAsia="MS Mincho" w:hAnsi="Arial" w:cs="Arial"/>
                              <w:color w:val="A6A6A6"/>
                              <w:sz w:val="13"/>
                              <w:szCs w:val="13"/>
                            </w:rPr>
                            <w:t xml:space="preserve"> of Social Housing No. 4649</w:t>
                          </w:r>
                        </w:p>
                        <w:p w14:paraId="10790CD3" w14:textId="77777777" w:rsidR="003F5B8E" w:rsidRDefault="003F5B8E" w:rsidP="00243C55">
                          <w:pPr>
                            <w:numPr>
                              <w:ilvl w:val="0"/>
                              <w:numId w:val="2"/>
                            </w:numPr>
                            <w:rPr>
                              <w:rFonts w:ascii="Arial" w:eastAsia="MS Mincho" w:hAnsi="Arial" w:cs="Arial"/>
                              <w:color w:val="A6A6A6"/>
                              <w:sz w:val="13"/>
                              <w:szCs w:val="13"/>
                            </w:rPr>
                          </w:pPr>
                          <w:r>
                            <w:rPr>
                              <w:rFonts w:ascii="Arial" w:eastAsia="MS Mincho" w:hAnsi="Arial" w:cs="Arial"/>
                              <w:color w:val="A6A6A6"/>
                              <w:sz w:val="13"/>
                              <w:szCs w:val="13"/>
                            </w:rPr>
                            <w:t>Onward Homes Limited, a</w:t>
                          </w:r>
                          <w:r w:rsidR="00243C55">
                            <w:rPr>
                              <w:rFonts w:ascii="Arial" w:eastAsia="MS Mincho" w:hAnsi="Arial" w:cs="Arial"/>
                              <w:color w:val="A6A6A6"/>
                              <w:sz w:val="13"/>
                              <w:szCs w:val="13"/>
                            </w:rPr>
                            <w:t xml:space="preserve"> charitable</w:t>
                          </w:r>
                          <w:r>
                            <w:rPr>
                              <w:rFonts w:ascii="Arial" w:eastAsia="MS Mincho" w:hAnsi="Arial" w:cs="Arial"/>
                              <w:color w:val="A6A6A6"/>
                              <w:sz w:val="13"/>
                              <w:szCs w:val="13"/>
                            </w:rPr>
                            <w:t xml:space="preserve"> community benefit society registration no.17186R Registered Provider of Social Housing </w:t>
                          </w:r>
                          <w:r w:rsidRPr="00E42303">
                            <w:rPr>
                              <w:rFonts w:ascii="Arial" w:eastAsia="MS Mincho" w:hAnsi="Arial" w:cs="Arial"/>
                              <w:color w:val="A6A6A6"/>
                              <w:sz w:val="13"/>
                              <w:szCs w:val="13"/>
                            </w:rPr>
                            <w:t>No. LH0250</w:t>
                          </w:r>
                        </w:p>
                        <w:p w14:paraId="0EEDB852" w14:textId="77777777" w:rsidR="00243C55" w:rsidRPr="000C4BAE" w:rsidRDefault="00191D11" w:rsidP="000C4BAE">
                          <w:pPr>
                            <w:numPr>
                              <w:ilvl w:val="0"/>
                              <w:numId w:val="2"/>
                            </w:numPr>
                            <w:rPr>
                              <w:rFonts w:ascii="Arial" w:eastAsia="MS Mincho" w:hAnsi="Arial" w:cs="Arial"/>
                              <w:color w:val="A6A6A6"/>
                              <w:sz w:val="13"/>
                              <w:szCs w:val="13"/>
                            </w:rPr>
                          </w:pPr>
                          <w:r>
                            <w:rPr>
                              <w:rFonts w:ascii="Arial" w:eastAsia="MS Mincho" w:hAnsi="Arial" w:cs="Arial"/>
                              <w:color w:val="A6A6A6"/>
                              <w:sz w:val="13"/>
                              <w:szCs w:val="13"/>
                            </w:rPr>
                            <w:t>Onward Repairs</w:t>
                          </w:r>
                          <w:r w:rsidR="000C4BAE">
                            <w:rPr>
                              <w:rFonts w:ascii="Arial" w:eastAsia="MS Mincho" w:hAnsi="Arial" w:cs="Arial"/>
                              <w:color w:val="A6A6A6"/>
                              <w:sz w:val="13"/>
                              <w:szCs w:val="13"/>
                            </w:rPr>
                            <w:t xml:space="preserve"> Limited</w:t>
                          </w:r>
                          <w:r>
                            <w:rPr>
                              <w:rFonts w:ascii="Arial" w:eastAsia="MS Mincho" w:hAnsi="Arial" w:cs="Arial"/>
                              <w:color w:val="A6A6A6"/>
                              <w:sz w:val="13"/>
                              <w:szCs w:val="13"/>
                            </w:rPr>
                            <w:t>,</w:t>
                          </w:r>
                          <w:r w:rsidR="00243C55">
                            <w:rPr>
                              <w:rFonts w:ascii="Arial" w:eastAsia="MS Mincho" w:hAnsi="Arial" w:cs="Arial"/>
                              <w:color w:val="A6A6A6"/>
                              <w:sz w:val="13"/>
                              <w:szCs w:val="13"/>
                            </w:rPr>
                            <w:t xml:space="preserve"> </w:t>
                          </w:r>
                          <w:r w:rsidR="00243C55" w:rsidRPr="000C4BAE">
                            <w:rPr>
                              <w:rFonts w:ascii="Arial" w:eastAsia="MS Mincho" w:hAnsi="Arial" w:cs="Arial"/>
                              <w:color w:val="A6A6A6"/>
                              <w:sz w:val="13"/>
                              <w:szCs w:val="13"/>
                            </w:rPr>
                            <w:t>a company limited by guarantee registered in England 03538264</w:t>
                          </w:r>
                        </w:p>
                        <w:p w14:paraId="50C4E812" w14:textId="77777777" w:rsidR="003F5B8E" w:rsidRDefault="003F5B8E" w:rsidP="00D956E1">
                          <w:pPr>
                            <w:rPr>
                              <w:rFonts w:ascii="Arial" w:eastAsia="MS Mincho" w:hAnsi="Arial" w:cs="Arial"/>
                              <w:color w:val="A6A6A6"/>
                              <w:sz w:val="13"/>
                              <w:szCs w:val="13"/>
                            </w:rPr>
                          </w:pPr>
                        </w:p>
                        <w:p w14:paraId="2D07E2EA" w14:textId="77777777" w:rsidR="00907C19" w:rsidRPr="003A3D97" w:rsidRDefault="008D40FA" w:rsidP="00D956E1">
                          <w:pPr>
                            <w:rPr>
                              <w:rFonts w:ascii="Arial" w:hAnsi="Arial" w:cs="Arial"/>
                              <w:color w:val="A6A6A6"/>
                              <w:sz w:val="13"/>
                              <w:szCs w:val="13"/>
                            </w:rPr>
                          </w:pPr>
                          <w:r>
                            <w:rPr>
                              <w:rFonts w:ascii="Arial" w:eastAsia="MS Mincho" w:hAnsi="Arial" w:cs="Arial"/>
                              <w:color w:val="A6A6A6"/>
                              <w:sz w:val="13"/>
                              <w:szCs w:val="13"/>
                            </w:rPr>
                            <w:t>Registered office</w:t>
                          </w:r>
                          <w:r w:rsidR="00243C55">
                            <w:rPr>
                              <w:rFonts w:ascii="Arial" w:eastAsia="MS Mincho" w:hAnsi="Arial" w:cs="Arial"/>
                              <w:color w:val="A6A6A6"/>
                              <w:sz w:val="13"/>
                              <w:szCs w:val="13"/>
                            </w:rPr>
                            <w:t xml:space="preserve"> for all entities</w:t>
                          </w:r>
                          <w:r>
                            <w:rPr>
                              <w:rFonts w:ascii="Arial" w:eastAsia="MS Mincho" w:hAnsi="Arial" w:cs="Arial"/>
                              <w:color w:val="A6A6A6"/>
                              <w:sz w:val="13"/>
                              <w:szCs w:val="13"/>
                            </w:rPr>
                            <w:t>: 2 Christie Way, Manchester M21 7QY</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D3D8" id="Text Box 1" o:spid="_x0000_s1027" type="#_x0000_t202" style="position:absolute;margin-left:256.05pt;margin-top:-51.5pt;width:249.6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" filled="f" stroked="f">
              <v:textbox>
                <w:txbxContent>
                  <w:p w14:paraId="7ED9782A" w14:textId="77777777" w:rsidR="003F5B8E" w:rsidRDefault="00B05A4F" w:rsidP="00D956E1">
                    <w:pPr>
                      <w:rPr>
                        <w:rFonts w:ascii="Arial" w:eastAsia="MS Mincho" w:hAnsi="Arial" w:cs="Arial"/>
                        <w:color w:val="A6A6A6"/>
                        <w:sz w:val="13"/>
                        <w:szCs w:val="13"/>
                      </w:rPr>
                    </w:pPr>
                    <w:bookmarkStart w:id="3" w:name="_Hlk81473538"/>
                    <w:bookmarkStart w:id="4" w:name="_Hlk81473539"/>
                    <w:r w:rsidRPr="00B05A4F">
                      <w:rPr>
                        <w:rFonts w:ascii="Arial" w:eastAsia="MS Mincho" w:hAnsi="Arial" w:cs="Arial"/>
                        <w:color w:val="A6A6A6"/>
                        <w:sz w:val="13"/>
                        <w:szCs w:val="13"/>
                      </w:rPr>
                      <w:t>Onward</w:t>
                    </w:r>
                    <w:r w:rsidR="003F5B8E">
                      <w:rPr>
                        <w:rFonts w:ascii="Arial" w:eastAsia="MS Mincho" w:hAnsi="Arial" w:cs="Arial"/>
                        <w:color w:val="A6A6A6"/>
                        <w:sz w:val="13"/>
                        <w:szCs w:val="13"/>
                      </w:rPr>
                      <w:t xml:space="preserve"> is a trading name of:</w:t>
                    </w:r>
                  </w:p>
                  <w:p w14:paraId="77E3E063" w14:textId="77777777" w:rsidR="00B30DA7" w:rsidRDefault="003F5B8E" w:rsidP="00243C55">
                    <w:pPr>
                      <w:numPr>
                        <w:ilvl w:val="0"/>
                        <w:numId w:val="2"/>
                      </w:numPr>
                      <w:rPr>
                        <w:rFonts w:ascii="Arial" w:eastAsia="MS Mincho" w:hAnsi="Arial" w:cs="Arial"/>
                        <w:color w:val="A6A6A6"/>
                        <w:sz w:val="13"/>
                        <w:szCs w:val="13"/>
                      </w:rPr>
                    </w:pPr>
                    <w:r>
                      <w:rPr>
                        <w:rFonts w:ascii="Arial" w:eastAsia="MS Mincho" w:hAnsi="Arial" w:cs="Arial"/>
                        <w:color w:val="A6A6A6"/>
                        <w:sz w:val="13"/>
                        <w:szCs w:val="13"/>
                      </w:rPr>
                      <w:t>Onward</w:t>
                    </w:r>
                    <w:r w:rsidR="00B05A4F" w:rsidRPr="00B05A4F">
                      <w:rPr>
                        <w:rFonts w:ascii="Arial" w:eastAsia="MS Mincho" w:hAnsi="Arial" w:cs="Arial"/>
                        <w:color w:val="A6A6A6"/>
                        <w:sz w:val="13"/>
                        <w:szCs w:val="13"/>
                      </w:rPr>
                      <w:t xml:space="preserve"> Group Limited</w:t>
                    </w:r>
                    <w:r>
                      <w:rPr>
                        <w:rFonts w:ascii="Arial" w:eastAsia="MS Mincho" w:hAnsi="Arial" w:cs="Arial"/>
                        <w:color w:val="A6A6A6"/>
                        <w:sz w:val="13"/>
                        <w:szCs w:val="13"/>
                      </w:rPr>
                      <w:t>,</w:t>
                    </w:r>
                    <w:r w:rsidR="00B05A4F" w:rsidRPr="00B05A4F">
                      <w:rPr>
                        <w:rFonts w:ascii="Arial" w:eastAsia="MS Mincho" w:hAnsi="Arial" w:cs="Arial"/>
                        <w:color w:val="A6A6A6"/>
                        <w:sz w:val="13"/>
                        <w:szCs w:val="13"/>
                      </w:rPr>
                      <w:t xml:space="preserve"> a </w:t>
                    </w:r>
                    <w:r>
                      <w:rPr>
                        <w:rFonts w:ascii="Arial" w:eastAsia="MS Mincho" w:hAnsi="Arial" w:cs="Arial"/>
                        <w:color w:val="A6A6A6"/>
                        <w:sz w:val="13"/>
                        <w:szCs w:val="13"/>
                      </w:rPr>
                      <w:t>community benefit</w:t>
                    </w:r>
                    <w:r w:rsidR="00B05A4F" w:rsidRPr="00B05A4F">
                      <w:rPr>
                        <w:rFonts w:ascii="Arial" w:eastAsia="MS Mincho" w:hAnsi="Arial" w:cs="Arial"/>
                        <w:color w:val="A6A6A6"/>
                        <w:sz w:val="13"/>
                        <w:szCs w:val="13"/>
                      </w:rPr>
                      <w:t xml:space="preserve"> society </w:t>
                    </w:r>
                    <w:r>
                      <w:rPr>
                        <w:rFonts w:ascii="Arial" w:eastAsia="MS Mincho" w:hAnsi="Arial" w:cs="Arial"/>
                        <w:color w:val="A6A6A6"/>
                        <w:sz w:val="13"/>
                        <w:szCs w:val="13"/>
                      </w:rPr>
                      <w:t>r</w:t>
                    </w:r>
                    <w:r w:rsidR="00B05A4F" w:rsidRPr="00B05A4F">
                      <w:rPr>
                        <w:rFonts w:ascii="Arial" w:eastAsia="MS Mincho" w:hAnsi="Arial" w:cs="Arial"/>
                        <w:color w:val="A6A6A6"/>
                        <w:sz w:val="13"/>
                        <w:szCs w:val="13"/>
                      </w:rPr>
                      <w:t xml:space="preserve">egistration </w:t>
                    </w:r>
                  </w:p>
                  <w:p w14:paraId="7C241CFD" w14:textId="77777777" w:rsidR="003F5B8E" w:rsidRDefault="003F5B8E" w:rsidP="00B30DA7">
                    <w:pPr>
                      <w:ind w:left="360"/>
                      <w:rPr>
                        <w:rFonts w:ascii="Arial" w:eastAsia="MS Mincho" w:hAnsi="Arial" w:cs="Arial"/>
                        <w:color w:val="A6A6A6"/>
                        <w:sz w:val="13"/>
                        <w:szCs w:val="13"/>
                      </w:rPr>
                    </w:pPr>
                    <w:r>
                      <w:rPr>
                        <w:rFonts w:ascii="Arial" w:eastAsia="MS Mincho" w:hAnsi="Arial" w:cs="Arial"/>
                        <w:color w:val="A6A6A6"/>
                        <w:sz w:val="13"/>
                        <w:szCs w:val="13"/>
                      </w:rPr>
                      <w:t>n</w:t>
                    </w:r>
                    <w:r w:rsidR="00B05A4F" w:rsidRPr="00B05A4F">
                      <w:rPr>
                        <w:rFonts w:ascii="Arial" w:eastAsia="MS Mincho" w:hAnsi="Arial" w:cs="Arial"/>
                        <w:color w:val="A6A6A6"/>
                        <w:sz w:val="13"/>
                        <w:szCs w:val="13"/>
                      </w:rPr>
                      <w:t xml:space="preserve">o. 31216R </w:t>
                    </w:r>
                    <w:r>
                      <w:rPr>
                        <w:rFonts w:ascii="Arial" w:eastAsia="MS Mincho" w:hAnsi="Arial" w:cs="Arial"/>
                        <w:color w:val="A6A6A6"/>
                        <w:sz w:val="13"/>
                        <w:szCs w:val="13"/>
                      </w:rPr>
                      <w:t>Registered Provider</w:t>
                    </w:r>
                    <w:r w:rsidR="00B05A4F" w:rsidRPr="00B05A4F">
                      <w:rPr>
                        <w:rFonts w:ascii="Arial" w:eastAsia="MS Mincho" w:hAnsi="Arial" w:cs="Arial"/>
                        <w:color w:val="A6A6A6"/>
                        <w:sz w:val="13"/>
                        <w:szCs w:val="13"/>
                      </w:rPr>
                      <w:t xml:space="preserve"> of Social Housing No. 4649</w:t>
                    </w:r>
                  </w:p>
                  <w:p w14:paraId="10790CD3" w14:textId="77777777" w:rsidR="003F5B8E" w:rsidRDefault="003F5B8E" w:rsidP="00243C55">
                    <w:pPr>
                      <w:numPr>
                        <w:ilvl w:val="0"/>
                        <w:numId w:val="2"/>
                      </w:numPr>
                      <w:rPr>
                        <w:rFonts w:ascii="Arial" w:eastAsia="MS Mincho" w:hAnsi="Arial" w:cs="Arial"/>
                        <w:color w:val="A6A6A6"/>
                        <w:sz w:val="13"/>
                        <w:szCs w:val="13"/>
                      </w:rPr>
                    </w:pPr>
                    <w:r>
                      <w:rPr>
                        <w:rFonts w:ascii="Arial" w:eastAsia="MS Mincho" w:hAnsi="Arial" w:cs="Arial"/>
                        <w:color w:val="A6A6A6"/>
                        <w:sz w:val="13"/>
                        <w:szCs w:val="13"/>
                      </w:rPr>
                      <w:t>Onward Homes Limited, a</w:t>
                    </w:r>
                    <w:r w:rsidR="00243C55">
                      <w:rPr>
                        <w:rFonts w:ascii="Arial" w:eastAsia="MS Mincho" w:hAnsi="Arial" w:cs="Arial"/>
                        <w:color w:val="A6A6A6"/>
                        <w:sz w:val="13"/>
                        <w:szCs w:val="13"/>
                      </w:rPr>
                      <w:t xml:space="preserve"> charitable</w:t>
                    </w:r>
                    <w:r>
                      <w:rPr>
                        <w:rFonts w:ascii="Arial" w:eastAsia="MS Mincho" w:hAnsi="Arial" w:cs="Arial"/>
                        <w:color w:val="A6A6A6"/>
                        <w:sz w:val="13"/>
                        <w:szCs w:val="13"/>
                      </w:rPr>
                      <w:t xml:space="preserve"> community benefit society registration no.17186R Registered Provider of Social Housing </w:t>
                    </w:r>
                    <w:r w:rsidRPr="00E42303">
                      <w:rPr>
                        <w:rFonts w:ascii="Arial" w:eastAsia="MS Mincho" w:hAnsi="Arial" w:cs="Arial"/>
                        <w:color w:val="A6A6A6"/>
                        <w:sz w:val="13"/>
                        <w:szCs w:val="13"/>
                      </w:rPr>
                      <w:t>No. LH0250</w:t>
                    </w:r>
                  </w:p>
                  <w:p w14:paraId="0EEDB852" w14:textId="77777777" w:rsidR="00243C55" w:rsidRPr="000C4BAE" w:rsidRDefault="00191D11" w:rsidP="000C4BAE">
                    <w:pPr>
                      <w:numPr>
                        <w:ilvl w:val="0"/>
                        <w:numId w:val="2"/>
                      </w:numPr>
                      <w:rPr>
                        <w:rFonts w:ascii="Arial" w:eastAsia="MS Mincho" w:hAnsi="Arial" w:cs="Arial"/>
                        <w:color w:val="A6A6A6"/>
                        <w:sz w:val="13"/>
                        <w:szCs w:val="13"/>
                      </w:rPr>
                    </w:pPr>
                    <w:r>
                      <w:rPr>
                        <w:rFonts w:ascii="Arial" w:eastAsia="MS Mincho" w:hAnsi="Arial" w:cs="Arial"/>
                        <w:color w:val="A6A6A6"/>
                        <w:sz w:val="13"/>
                        <w:szCs w:val="13"/>
                      </w:rPr>
                      <w:t>Onward Repairs</w:t>
                    </w:r>
                    <w:r w:rsidR="000C4BAE">
                      <w:rPr>
                        <w:rFonts w:ascii="Arial" w:eastAsia="MS Mincho" w:hAnsi="Arial" w:cs="Arial"/>
                        <w:color w:val="A6A6A6"/>
                        <w:sz w:val="13"/>
                        <w:szCs w:val="13"/>
                      </w:rPr>
                      <w:t xml:space="preserve"> Limited</w:t>
                    </w:r>
                    <w:r>
                      <w:rPr>
                        <w:rFonts w:ascii="Arial" w:eastAsia="MS Mincho" w:hAnsi="Arial" w:cs="Arial"/>
                        <w:color w:val="A6A6A6"/>
                        <w:sz w:val="13"/>
                        <w:szCs w:val="13"/>
                      </w:rPr>
                      <w:t>,</w:t>
                    </w:r>
                    <w:r w:rsidR="00243C55">
                      <w:rPr>
                        <w:rFonts w:ascii="Arial" w:eastAsia="MS Mincho" w:hAnsi="Arial" w:cs="Arial"/>
                        <w:color w:val="A6A6A6"/>
                        <w:sz w:val="13"/>
                        <w:szCs w:val="13"/>
                      </w:rPr>
                      <w:t xml:space="preserve"> </w:t>
                    </w:r>
                    <w:r w:rsidR="00243C55" w:rsidRPr="000C4BAE">
                      <w:rPr>
                        <w:rFonts w:ascii="Arial" w:eastAsia="MS Mincho" w:hAnsi="Arial" w:cs="Arial"/>
                        <w:color w:val="A6A6A6"/>
                        <w:sz w:val="13"/>
                        <w:szCs w:val="13"/>
                      </w:rPr>
                      <w:t>a company limited by guarantee registered in England 03538264</w:t>
                    </w:r>
                  </w:p>
                  <w:p w14:paraId="50C4E812" w14:textId="77777777" w:rsidR="003F5B8E" w:rsidRDefault="003F5B8E" w:rsidP="00D956E1">
                    <w:pPr>
                      <w:rPr>
                        <w:rFonts w:ascii="Arial" w:eastAsia="MS Mincho" w:hAnsi="Arial" w:cs="Arial"/>
                        <w:color w:val="A6A6A6"/>
                        <w:sz w:val="13"/>
                        <w:szCs w:val="13"/>
                      </w:rPr>
                    </w:pPr>
                  </w:p>
                  <w:p w14:paraId="2D07E2EA" w14:textId="77777777" w:rsidR="00907C19" w:rsidRPr="003A3D97" w:rsidRDefault="008D40FA" w:rsidP="00D956E1">
                    <w:pPr>
                      <w:rPr>
                        <w:rFonts w:ascii="Arial" w:hAnsi="Arial" w:cs="Arial"/>
                        <w:color w:val="A6A6A6"/>
                        <w:sz w:val="13"/>
                        <w:szCs w:val="13"/>
                      </w:rPr>
                    </w:pPr>
                    <w:r>
                      <w:rPr>
                        <w:rFonts w:ascii="Arial" w:eastAsia="MS Mincho" w:hAnsi="Arial" w:cs="Arial"/>
                        <w:color w:val="A6A6A6"/>
                        <w:sz w:val="13"/>
                        <w:szCs w:val="13"/>
                      </w:rPr>
                      <w:t>Registered office</w:t>
                    </w:r>
                    <w:r w:rsidR="00243C55">
                      <w:rPr>
                        <w:rFonts w:ascii="Arial" w:eastAsia="MS Mincho" w:hAnsi="Arial" w:cs="Arial"/>
                        <w:color w:val="A6A6A6"/>
                        <w:sz w:val="13"/>
                        <w:szCs w:val="13"/>
                      </w:rPr>
                      <w:t xml:space="preserve"> for all entities</w:t>
                    </w:r>
                    <w:r>
                      <w:rPr>
                        <w:rFonts w:ascii="Arial" w:eastAsia="MS Mincho" w:hAnsi="Arial" w:cs="Arial"/>
                        <w:color w:val="A6A6A6"/>
                        <w:sz w:val="13"/>
                        <w:szCs w:val="13"/>
                      </w:rPr>
                      <w:t>: 2 Christie Way, Manchester M21 7QY</w:t>
                    </w:r>
                    <w:bookmarkEnd w:id="3"/>
                    <w:bookmarkEnd w:id="4"/>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4A9F7" w14:textId="77777777" w:rsidR="003A17BB" w:rsidRDefault="003A17BB" w:rsidP="003A3D97">
      <w:r>
        <w:separator/>
      </w:r>
    </w:p>
  </w:footnote>
  <w:footnote w:type="continuationSeparator" w:id="0">
    <w:p w14:paraId="768E1C81" w14:textId="77777777" w:rsidR="003A17BB" w:rsidRDefault="003A17BB" w:rsidP="003A3D97">
      <w:r>
        <w:continuationSeparator/>
      </w:r>
    </w:p>
  </w:footnote>
  <w:footnote w:type="continuationNotice" w:id="1">
    <w:p w14:paraId="22764B59" w14:textId="77777777" w:rsidR="003A17BB" w:rsidRDefault="003A1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0C6A" w14:textId="77777777" w:rsidR="007A2464" w:rsidRDefault="007A2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9FB0" w14:textId="77777777" w:rsidR="003A3D97" w:rsidRDefault="003A3D97" w:rsidP="003A3D97">
    <w:pPr>
      <w:pStyle w:val="Header"/>
      <w:ind w:left="-127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575C0" w14:textId="248186C9" w:rsidR="00A21531" w:rsidRDefault="00611B5E">
    <w:pPr>
      <w:pStyle w:val="Header"/>
    </w:pPr>
    <w:r>
      <w:rPr>
        <w:noProof/>
      </w:rPr>
      <w:drawing>
        <wp:anchor distT="0" distB="0" distL="114300" distR="114300" simplePos="0" relativeHeight="251658242" behindDoc="0" locked="0" layoutInCell="1" allowOverlap="1" wp14:anchorId="64565938" wp14:editId="3314154A">
          <wp:simplePos x="0" y="0"/>
          <wp:positionH relativeFrom="column">
            <wp:posOffset>-82550</wp:posOffset>
          </wp:positionH>
          <wp:positionV relativeFrom="paragraph">
            <wp:posOffset>-304800</wp:posOffset>
          </wp:positionV>
          <wp:extent cx="6731635" cy="588645"/>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63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6982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94EB0"/>
    <w:multiLevelType w:val="hybridMultilevel"/>
    <w:tmpl w:val="DB0C1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E2A0F"/>
    <w:multiLevelType w:val="hybridMultilevel"/>
    <w:tmpl w:val="EAD8DFA0"/>
    <w:lvl w:ilvl="0" w:tplc="4B6ABA42">
      <w:start w:val="4"/>
      <w:numFmt w:val="decimal"/>
      <w:lvlText w:val="%1."/>
      <w:lvlJc w:val="left"/>
      <w:pPr>
        <w:ind w:left="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3867015A"/>
    <w:multiLevelType w:val="hybridMultilevel"/>
    <w:tmpl w:val="314226CA"/>
    <w:lvl w:ilvl="0" w:tplc="5B427CCA">
      <w:start w:val="1"/>
      <w:numFmt w:val="decimal"/>
      <w:lvlText w:val="%1."/>
      <w:lvlJc w:val="left"/>
      <w:pPr>
        <w:ind w:left="360" w:hanging="360"/>
      </w:pPr>
      <w:rPr>
        <w:b w:val="0"/>
        <w:i w:val="0"/>
        <w:color w:val="0A2F41" w:themeColor="accent1" w:themeShade="8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1E5FB1"/>
    <w:multiLevelType w:val="hybridMultilevel"/>
    <w:tmpl w:val="CCB02914"/>
    <w:lvl w:ilvl="0" w:tplc="08090001">
      <w:start w:val="1"/>
      <w:numFmt w:val="bullet"/>
      <w:lvlText w:val=""/>
      <w:lvlJc w:val="left"/>
      <w:pPr>
        <w:tabs>
          <w:tab w:val="num" w:pos="785"/>
        </w:tabs>
        <w:ind w:left="785"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D27CD5"/>
    <w:multiLevelType w:val="hybridMultilevel"/>
    <w:tmpl w:val="92F2C966"/>
    <w:lvl w:ilvl="0" w:tplc="B24ED4EA">
      <w:start w:val="1"/>
      <w:numFmt w:val="bullet"/>
      <w:lvlText w:val=""/>
      <w:lvlJc w:val="left"/>
      <w:pPr>
        <w:tabs>
          <w:tab w:val="num" w:pos="1084"/>
        </w:tabs>
        <w:ind w:left="1084"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A11236"/>
    <w:multiLevelType w:val="hybridMultilevel"/>
    <w:tmpl w:val="A75E3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94016E"/>
    <w:multiLevelType w:val="hybridMultilevel"/>
    <w:tmpl w:val="D77A0828"/>
    <w:lvl w:ilvl="0" w:tplc="33D28196">
      <w:start w:val="1"/>
      <w:numFmt w:val="decimal"/>
      <w:lvlText w:val="%1)"/>
      <w:lvlJc w:val="left"/>
      <w:pPr>
        <w:ind w:left="720" w:hanging="360"/>
      </w:pPr>
      <w:rPr>
        <w:rFonts w:ascii="Calibr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C12F5E"/>
    <w:multiLevelType w:val="hybridMultilevel"/>
    <w:tmpl w:val="17C4FB56"/>
    <w:lvl w:ilvl="0" w:tplc="8D9AE1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550D54"/>
    <w:multiLevelType w:val="hybridMultilevel"/>
    <w:tmpl w:val="205A893C"/>
    <w:lvl w:ilvl="0" w:tplc="981AA360">
      <w:start w:val="1"/>
      <w:numFmt w:val="decimal"/>
      <w:lvlText w:val="%1."/>
      <w:lvlJc w:val="left"/>
      <w:pPr>
        <w:tabs>
          <w:tab w:val="num" w:pos="360"/>
        </w:tabs>
        <w:ind w:left="360" w:hanging="7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71D43463"/>
    <w:multiLevelType w:val="hybridMultilevel"/>
    <w:tmpl w:val="C0369020"/>
    <w:lvl w:ilvl="0" w:tplc="2BAA7C72">
      <w:start w:val="4"/>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1172915478">
    <w:abstractNumId w:val="0"/>
  </w:num>
  <w:num w:numId="2" w16cid:durableId="333458919">
    <w:abstractNumId w:val="6"/>
  </w:num>
  <w:num w:numId="3" w16cid:durableId="674693202">
    <w:abstractNumId w:val="1"/>
  </w:num>
  <w:num w:numId="4" w16cid:durableId="1876311785">
    <w:abstractNumId w:val="9"/>
  </w:num>
  <w:num w:numId="5" w16cid:durableId="1143039825">
    <w:abstractNumId w:val="8"/>
  </w:num>
  <w:num w:numId="6" w16cid:durableId="1620146208">
    <w:abstractNumId w:val="5"/>
  </w:num>
  <w:num w:numId="7" w16cid:durableId="1048334074">
    <w:abstractNumId w:val="10"/>
  </w:num>
  <w:num w:numId="8" w16cid:durableId="1158419986">
    <w:abstractNumId w:val="4"/>
  </w:num>
  <w:num w:numId="9" w16cid:durableId="671495892">
    <w:abstractNumId w:val="2"/>
  </w:num>
  <w:num w:numId="10" w16cid:durableId="2054696442">
    <w:abstractNumId w:val="7"/>
  </w:num>
  <w:num w:numId="11" w16cid:durableId="114323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21"/>
    <w:rsid w:val="00011A7D"/>
    <w:rsid w:val="00025809"/>
    <w:rsid w:val="000259C0"/>
    <w:rsid w:val="0002646E"/>
    <w:rsid w:val="00027D65"/>
    <w:rsid w:val="0003342B"/>
    <w:rsid w:val="00034FE4"/>
    <w:rsid w:val="000420D3"/>
    <w:rsid w:val="00043451"/>
    <w:rsid w:val="00046639"/>
    <w:rsid w:val="00051658"/>
    <w:rsid w:val="0006353E"/>
    <w:rsid w:val="0006644B"/>
    <w:rsid w:val="000709B4"/>
    <w:rsid w:val="00075635"/>
    <w:rsid w:val="00092C25"/>
    <w:rsid w:val="000932E4"/>
    <w:rsid w:val="0009438E"/>
    <w:rsid w:val="000959E0"/>
    <w:rsid w:val="000975AE"/>
    <w:rsid w:val="000A11FE"/>
    <w:rsid w:val="000B2C7B"/>
    <w:rsid w:val="000C4BAE"/>
    <w:rsid w:val="000C72E6"/>
    <w:rsid w:val="000D08B9"/>
    <w:rsid w:val="000D6AB0"/>
    <w:rsid w:val="000D7A70"/>
    <w:rsid w:val="000E1007"/>
    <w:rsid w:val="000E1EB1"/>
    <w:rsid w:val="000E287C"/>
    <w:rsid w:val="000E6CE7"/>
    <w:rsid w:val="000F1BEE"/>
    <w:rsid w:val="000F7139"/>
    <w:rsid w:val="001064DB"/>
    <w:rsid w:val="00106591"/>
    <w:rsid w:val="00115BF9"/>
    <w:rsid w:val="0012044C"/>
    <w:rsid w:val="00121F09"/>
    <w:rsid w:val="0013016C"/>
    <w:rsid w:val="00131FA2"/>
    <w:rsid w:val="001320B3"/>
    <w:rsid w:val="00133EF1"/>
    <w:rsid w:val="001347A6"/>
    <w:rsid w:val="001372B4"/>
    <w:rsid w:val="00145516"/>
    <w:rsid w:val="00145A99"/>
    <w:rsid w:val="001523DF"/>
    <w:rsid w:val="00152DC6"/>
    <w:rsid w:val="0015395E"/>
    <w:rsid w:val="001564AD"/>
    <w:rsid w:val="00157766"/>
    <w:rsid w:val="00164CF3"/>
    <w:rsid w:val="001653B1"/>
    <w:rsid w:val="00166ECA"/>
    <w:rsid w:val="0017202A"/>
    <w:rsid w:val="00176EFB"/>
    <w:rsid w:val="001834E5"/>
    <w:rsid w:val="00184600"/>
    <w:rsid w:val="00185F70"/>
    <w:rsid w:val="00190121"/>
    <w:rsid w:val="00190E58"/>
    <w:rsid w:val="00191D11"/>
    <w:rsid w:val="001A7EB9"/>
    <w:rsid w:val="001B1CB7"/>
    <w:rsid w:val="001B206E"/>
    <w:rsid w:val="001B3648"/>
    <w:rsid w:val="001C0A8B"/>
    <w:rsid w:val="001C28EB"/>
    <w:rsid w:val="001C40EF"/>
    <w:rsid w:val="001C68FE"/>
    <w:rsid w:val="001D2EB1"/>
    <w:rsid w:val="001F1EA2"/>
    <w:rsid w:val="001F5C6E"/>
    <w:rsid w:val="001F643E"/>
    <w:rsid w:val="002037A9"/>
    <w:rsid w:val="002056A4"/>
    <w:rsid w:val="002061EE"/>
    <w:rsid w:val="0022350E"/>
    <w:rsid w:val="002301C7"/>
    <w:rsid w:val="00232E5C"/>
    <w:rsid w:val="002334C6"/>
    <w:rsid w:val="00234C50"/>
    <w:rsid w:val="00236A08"/>
    <w:rsid w:val="00237AB0"/>
    <w:rsid w:val="00240658"/>
    <w:rsid w:val="00243C55"/>
    <w:rsid w:val="002563D3"/>
    <w:rsid w:val="002641CE"/>
    <w:rsid w:val="0027163D"/>
    <w:rsid w:val="002745F5"/>
    <w:rsid w:val="0028632C"/>
    <w:rsid w:val="00287871"/>
    <w:rsid w:val="0029536A"/>
    <w:rsid w:val="002A62B8"/>
    <w:rsid w:val="002B4B70"/>
    <w:rsid w:val="002B5BDA"/>
    <w:rsid w:val="002C3A13"/>
    <w:rsid w:val="002C718F"/>
    <w:rsid w:val="002D4D4A"/>
    <w:rsid w:val="002E00A0"/>
    <w:rsid w:val="002E194D"/>
    <w:rsid w:val="002F2E10"/>
    <w:rsid w:val="003213F3"/>
    <w:rsid w:val="00321F6A"/>
    <w:rsid w:val="0032640B"/>
    <w:rsid w:val="00327861"/>
    <w:rsid w:val="0032792D"/>
    <w:rsid w:val="00342A8E"/>
    <w:rsid w:val="0034350A"/>
    <w:rsid w:val="0034651C"/>
    <w:rsid w:val="00351C98"/>
    <w:rsid w:val="00353F78"/>
    <w:rsid w:val="0035796B"/>
    <w:rsid w:val="00365270"/>
    <w:rsid w:val="0036532C"/>
    <w:rsid w:val="00375739"/>
    <w:rsid w:val="00376705"/>
    <w:rsid w:val="00385061"/>
    <w:rsid w:val="0038569E"/>
    <w:rsid w:val="00394ED0"/>
    <w:rsid w:val="003A17BB"/>
    <w:rsid w:val="003A3D97"/>
    <w:rsid w:val="003A49F0"/>
    <w:rsid w:val="003A6717"/>
    <w:rsid w:val="003A6BC2"/>
    <w:rsid w:val="003B1805"/>
    <w:rsid w:val="003B3264"/>
    <w:rsid w:val="003B4A7A"/>
    <w:rsid w:val="003B721E"/>
    <w:rsid w:val="003C5D0F"/>
    <w:rsid w:val="003D3029"/>
    <w:rsid w:val="003E1A45"/>
    <w:rsid w:val="003F3102"/>
    <w:rsid w:val="003F5B8E"/>
    <w:rsid w:val="00400922"/>
    <w:rsid w:val="00403A45"/>
    <w:rsid w:val="00404059"/>
    <w:rsid w:val="00406729"/>
    <w:rsid w:val="00407CFD"/>
    <w:rsid w:val="004157CC"/>
    <w:rsid w:val="004270E1"/>
    <w:rsid w:val="00430F13"/>
    <w:rsid w:val="004329D8"/>
    <w:rsid w:val="00432DAD"/>
    <w:rsid w:val="0043523D"/>
    <w:rsid w:val="00442BCC"/>
    <w:rsid w:val="00446039"/>
    <w:rsid w:val="00451334"/>
    <w:rsid w:val="0045331D"/>
    <w:rsid w:val="004563CD"/>
    <w:rsid w:val="004629B9"/>
    <w:rsid w:val="0047104D"/>
    <w:rsid w:val="00471419"/>
    <w:rsid w:val="0048295C"/>
    <w:rsid w:val="00484DE2"/>
    <w:rsid w:val="0048533F"/>
    <w:rsid w:val="00490CF8"/>
    <w:rsid w:val="00495784"/>
    <w:rsid w:val="004A159E"/>
    <w:rsid w:val="004A3553"/>
    <w:rsid w:val="004A3570"/>
    <w:rsid w:val="004A438A"/>
    <w:rsid w:val="004B0ACF"/>
    <w:rsid w:val="004B2547"/>
    <w:rsid w:val="004B46DD"/>
    <w:rsid w:val="004B54CB"/>
    <w:rsid w:val="004B5BF7"/>
    <w:rsid w:val="004B6217"/>
    <w:rsid w:val="004C5F38"/>
    <w:rsid w:val="004D0347"/>
    <w:rsid w:val="004D3B05"/>
    <w:rsid w:val="004E2739"/>
    <w:rsid w:val="004E6450"/>
    <w:rsid w:val="004E76B5"/>
    <w:rsid w:val="004F09AB"/>
    <w:rsid w:val="004F0EF6"/>
    <w:rsid w:val="004F43FC"/>
    <w:rsid w:val="004F4F9B"/>
    <w:rsid w:val="005023C4"/>
    <w:rsid w:val="00502FA1"/>
    <w:rsid w:val="0051101E"/>
    <w:rsid w:val="005179B6"/>
    <w:rsid w:val="00520B7B"/>
    <w:rsid w:val="00521012"/>
    <w:rsid w:val="0052112E"/>
    <w:rsid w:val="00521D9C"/>
    <w:rsid w:val="005247DA"/>
    <w:rsid w:val="00527324"/>
    <w:rsid w:val="00533CFF"/>
    <w:rsid w:val="005346ED"/>
    <w:rsid w:val="005376B1"/>
    <w:rsid w:val="00544B02"/>
    <w:rsid w:val="00550249"/>
    <w:rsid w:val="00550A71"/>
    <w:rsid w:val="00551CB4"/>
    <w:rsid w:val="005528CB"/>
    <w:rsid w:val="005606C3"/>
    <w:rsid w:val="005609FB"/>
    <w:rsid w:val="005625A3"/>
    <w:rsid w:val="00562A08"/>
    <w:rsid w:val="005641A1"/>
    <w:rsid w:val="00567B58"/>
    <w:rsid w:val="00571DFC"/>
    <w:rsid w:val="005757AE"/>
    <w:rsid w:val="00581F39"/>
    <w:rsid w:val="00585ED5"/>
    <w:rsid w:val="005866DE"/>
    <w:rsid w:val="00595C41"/>
    <w:rsid w:val="0059690A"/>
    <w:rsid w:val="005A1000"/>
    <w:rsid w:val="005A29EB"/>
    <w:rsid w:val="005A51D0"/>
    <w:rsid w:val="005A6FFB"/>
    <w:rsid w:val="005B4139"/>
    <w:rsid w:val="005B4AE3"/>
    <w:rsid w:val="005B7E7E"/>
    <w:rsid w:val="005C25CA"/>
    <w:rsid w:val="005C60AB"/>
    <w:rsid w:val="005E4481"/>
    <w:rsid w:val="005E52E6"/>
    <w:rsid w:val="005E69DF"/>
    <w:rsid w:val="0061006F"/>
    <w:rsid w:val="006111DE"/>
    <w:rsid w:val="00611B5E"/>
    <w:rsid w:val="00613F5E"/>
    <w:rsid w:val="00614EB5"/>
    <w:rsid w:val="00617E3E"/>
    <w:rsid w:val="00620258"/>
    <w:rsid w:val="00620997"/>
    <w:rsid w:val="00627A0A"/>
    <w:rsid w:val="00630424"/>
    <w:rsid w:val="006349FE"/>
    <w:rsid w:val="00634E87"/>
    <w:rsid w:val="0063557A"/>
    <w:rsid w:val="00643DD1"/>
    <w:rsid w:val="0065086C"/>
    <w:rsid w:val="00654FB1"/>
    <w:rsid w:val="00663C26"/>
    <w:rsid w:val="006668D8"/>
    <w:rsid w:val="00670253"/>
    <w:rsid w:val="00670BFC"/>
    <w:rsid w:val="0067159D"/>
    <w:rsid w:val="0067167E"/>
    <w:rsid w:val="00680021"/>
    <w:rsid w:val="006836A5"/>
    <w:rsid w:val="006847A7"/>
    <w:rsid w:val="00685464"/>
    <w:rsid w:val="00686D4E"/>
    <w:rsid w:val="00687FD8"/>
    <w:rsid w:val="006A0F3B"/>
    <w:rsid w:val="006A49D3"/>
    <w:rsid w:val="006B356B"/>
    <w:rsid w:val="006B42C9"/>
    <w:rsid w:val="006B5144"/>
    <w:rsid w:val="006C796B"/>
    <w:rsid w:val="006D20E6"/>
    <w:rsid w:val="006D2B22"/>
    <w:rsid w:val="006E1215"/>
    <w:rsid w:val="006E1D66"/>
    <w:rsid w:val="006E3502"/>
    <w:rsid w:val="006E3FD1"/>
    <w:rsid w:val="006E64EF"/>
    <w:rsid w:val="006F26F7"/>
    <w:rsid w:val="00701C0F"/>
    <w:rsid w:val="007027BB"/>
    <w:rsid w:val="00703318"/>
    <w:rsid w:val="00707866"/>
    <w:rsid w:val="00707C82"/>
    <w:rsid w:val="00710A29"/>
    <w:rsid w:val="0071357A"/>
    <w:rsid w:val="00722C8C"/>
    <w:rsid w:val="00725268"/>
    <w:rsid w:val="0073245D"/>
    <w:rsid w:val="007326B4"/>
    <w:rsid w:val="0073344D"/>
    <w:rsid w:val="00734B5E"/>
    <w:rsid w:val="00737A0B"/>
    <w:rsid w:val="00742116"/>
    <w:rsid w:val="00745639"/>
    <w:rsid w:val="00746477"/>
    <w:rsid w:val="007548AE"/>
    <w:rsid w:val="00770B4A"/>
    <w:rsid w:val="00771F6F"/>
    <w:rsid w:val="0077477E"/>
    <w:rsid w:val="007753C0"/>
    <w:rsid w:val="00777BF2"/>
    <w:rsid w:val="00780686"/>
    <w:rsid w:val="00793FE2"/>
    <w:rsid w:val="00794A07"/>
    <w:rsid w:val="007A2464"/>
    <w:rsid w:val="007A4828"/>
    <w:rsid w:val="007A7C8D"/>
    <w:rsid w:val="007B17C0"/>
    <w:rsid w:val="007B23D4"/>
    <w:rsid w:val="007C06C5"/>
    <w:rsid w:val="007C1F2B"/>
    <w:rsid w:val="007C7DA8"/>
    <w:rsid w:val="007D4520"/>
    <w:rsid w:val="007D54B5"/>
    <w:rsid w:val="007D68EC"/>
    <w:rsid w:val="007E20F1"/>
    <w:rsid w:val="007E4137"/>
    <w:rsid w:val="007E52DD"/>
    <w:rsid w:val="007E545D"/>
    <w:rsid w:val="007E7302"/>
    <w:rsid w:val="007F0BA9"/>
    <w:rsid w:val="007F766C"/>
    <w:rsid w:val="008006A6"/>
    <w:rsid w:val="00800D9A"/>
    <w:rsid w:val="00803D46"/>
    <w:rsid w:val="0080532B"/>
    <w:rsid w:val="008062AF"/>
    <w:rsid w:val="00806762"/>
    <w:rsid w:val="00813311"/>
    <w:rsid w:val="00820F54"/>
    <w:rsid w:val="00822883"/>
    <w:rsid w:val="0082518E"/>
    <w:rsid w:val="0084032B"/>
    <w:rsid w:val="00844B38"/>
    <w:rsid w:val="00845FA8"/>
    <w:rsid w:val="00846070"/>
    <w:rsid w:val="00855BD7"/>
    <w:rsid w:val="00862F66"/>
    <w:rsid w:val="00863139"/>
    <w:rsid w:val="00867CED"/>
    <w:rsid w:val="008735DB"/>
    <w:rsid w:val="00877360"/>
    <w:rsid w:val="00880B14"/>
    <w:rsid w:val="008843DD"/>
    <w:rsid w:val="00892C03"/>
    <w:rsid w:val="00897068"/>
    <w:rsid w:val="008A1C37"/>
    <w:rsid w:val="008A346D"/>
    <w:rsid w:val="008A6698"/>
    <w:rsid w:val="008A76A3"/>
    <w:rsid w:val="008C1C85"/>
    <w:rsid w:val="008C60E9"/>
    <w:rsid w:val="008D40FA"/>
    <w:rsid w:val="008D4254"/>
    <w:rsid w:val="008E070B"/>
    <w:rsid w:val="008E16D5"/>
    <w:rsid w:val="008E28D4"/>
    <w:rsid w:val="008E3006"/>
    <w:rsid w:val="008E4A83"/>
    <w:rsid w:val="008E60A1"/>
    <w:rsid w:val="008F4E7D"/>
    <w:rsid w:val="008F7ECD"/>
    <w:rsid w:val="009003D0"/>
    <w:rsid w:val="0090236D"/>
    <w:rsid w:val="00902CB4"/>
    <w:rsid w:val="00906892"/>
    <w:rsid w:val="00907C19"/>
    <w:rsid w:val="00911B86"/>
    <w:rsid w:val="00922FC5"/>
    <w:rsid w:val="009255B3"/>
    <w:rsid w:val="00926E7A"/>
    <w:rsid w:val="009330A0"/>
    <w:rsid w:val="00941BC0"/>
    <w:rsid w:val="0094410F"/>
    <w:rsid w:val="00944A95"/>
    <w:rsid w:val="00954929"/>
    <w:rsid w:val="00964A9D"/>
    <w:rsid w:val="00974D49"/>
    <w:rsid w:val="00976921"/>
    <w:rsid w:val="009778E6"/>
    <w:rsid w:val="009874FF"/>
    <w:rsid w:val="009970D4"/>
    <w:rsid w:val="009A3C8A"/>
    <w:rsid w:val="009B1BBE"/>
    <w:rsid w:val="009B1E2D"/>
    <w:rsid w:val="009B2AC2"/>
    <w:rsid w:val="009B3232"/>
    <w:rsid w:val="009D3919"/>
    <w:rsid w:val="009D58DE"/>
    <w:rsid w:val="009D643C"/>
    <w:rsid w:val="009E1CB0"/>
    <w:rsid w:val="009E3594"/>
    <w:rsid w:val="009F3090"/>
    <w:rsid w:val="009F6D29"/>
    <w:rsid w:val="00A0007F"/>
    <w:rsid w:val="00A05EA3"/>
    <w:rsid w:val="00A119F0"/>
    <w:rsid w:val="00A14197"/>
    <w:rsid w:val="00A16360"/>
    <w:rsid w:val="00A17338"/>
    <w:rsid w:val="00A20C1A"/>
    <w:rsid w:val="00A21531"/>
    <w:rsid w:val="00A22EAE"/>
    <w:rsid w:val="00A2311E"/>
    <w:rsid w:val="00A24DF8"/>
    <w:rsid w:val="00A25CFE"/>
    <w:rsid w:val="00A26E11"/>
    <w:rsid w:val="00A275CC"/>
    <w:rsid w:val="00A52C77"/>
    <w:rsid w:val="00A55F04"/>
    <w:rsid w:val="00A5725B"/>
    <w:rsid w:val="00A60009"/>
    <w:rsid w:val="00A613A0"/>
    <w:rsid w:val="00A621FD"/>
    <w:rsid w:val="00A6387E"/>
    <w:rsid w:val="00A64EFC"/>
    <w:rsid w:val="00A66797"/>
    <w:rsid w:val="00A74878"/>
    <w:rsid w:val="00A81A9F"/>
    <w:rsid w:val="00A81E28"/>
    <w:rsid w:val="00A9133C"/>
    <w:rsid w:val="00AA1D57"/>
    <w:rsid w:val="00AA5AA6"/>
    <w:rsid w:val="00AA6290"/>
    <w:rsid w:val="00AB3861"/>
    <w:rsid w:val="00AC090A"/>
    <w:rsid w:val="00AC1076"/>
    <w:rsid w:val="00AC28C2"/>
    <w:rsid w:val="00AD1113"/>
    <w:rsid w:val="00AD2FF4"/>
    <w:rsid w:val="00AD7636"/>
    <w:rsid w:val="00AD7E90"/>
    <w:rsid w:val="00AE32B5"/>
    <w:rsid w:val="00AF58B2"/>
    <w:rsid w:val="00B01649"/>
    <w:rsid w:val="00B02558"/>
    <w:rsid w:val="00B0484A"/>
    <w:rsid w:val="00B05A4F"/>
    <w:rsid w:val="00B1054E"/>
    <w:rsid w:val="00B114C2"/>
    <w:rsid w:val="00B118EB"/>
    <w:rsid w:val="00B121BC"/>
    <w:rsid w:val="00B126F6"/>
    <w:rsid w:val="00B133B7"/>
    <w:rsid w:val="00B161B6"/>
    <w:rsid w:val="00B211DB"/>
    <w:rsid w:val="00B30DA7"/>
    <w:rsid w:val="00B31C83"/>
    <w:rsid w:val="00B374F4"/>
    <w:rsid w:val="00B43AF6"/>
    <w:rsid w:val="00B448FB"/>
    <w:rsid w:val="00B45B72"/>
    <w:rsid w:val="00B54EA1"/>
    <w:rsid w:val="00B67B1F"/>
    <w:rsid w:val="00B67BE0"/>
    <w:rsid w:val="00B7383C"/>
    <w:rsid w:val="00B759C6"/>
    <w:rsid w:val="00B81908"/>
    <w:rsid w:val="00B854CE"/>
    <w:rsid w:val="00B85E05"/>
    <w:rsid w:val="00B86131"/>
    <w:rsid w:val="00BA478B"/>
    <w:rsid w:val="00BB0B0F"/>
    <w:rsid w:val="00BB5255"/>
    <w:rsid w:val="00BC234D"/>
    <w:rsid w:val="00BC4267"/>
    <w:rsid w:val="00BC7E2C"/>
    <w:rsid w:val="00BD0F64"/>
    <w:rsid w:val="00BD4D79"/>
    <w:rsid w:val="00BD5DA9"/>
    <w:rsid w:val="00BE1612"/>
    <w:rsid w:val="00BE2BE6"/>
    <w:rsid w:val="00BE48E7"/>
    <w:rsid w:val="00BE67BD"/>
    <w:rsid w:val="00BE69D3"/>
    <w:rsid w:val="00BE737E"/>
    <w:rsid w:val="00BF13D8"/>
    <w:rsid w:val="00BF24C9"/>
    <w:rsid w:val="00BF277A"/>
    <w:rsid w:val="00BF4704"/>
    <w:rsid w:val="00BF593E"/>
    <w:rsid w:val="00C14617"/>
    <w:rsid w:val="00C321C5"/>
    <w:rsid w:val="00C326A4"/>
    <w:rsid w:val="00C36F4F"/>
    <w:rsid w:val="00C43808"/>
    <w:rsid w:val="00C43B4B"/>
    <w:rsid w:val="00C447DD"/>
    <w:rsid w:val="00C44AAC"/>
    <w:rsid w:val="00C46358"/>
    <w:rsid w:val="00C51974"/>
    <w:rsid w:val="00C603E9"/>
    <w:rsid w:val="00C639DB"/>
    <w:rsid w:val="00C812CE"/>
    <w:rsid w:val="00C86568"/>
    <w:rsid w:val="00C86D87"/>
    <w:rsid w:val="00CA7074"/>
    <w:rsid w:val="00CB2012"/>
    <w:rsid w:val="00CB5695"/>
    <w:rsid w:val="00CC07D7"/>
    <w:rsid w:val="00CC2386"/>
    <w:rsid w:val="00CC7774"/>
    <w:rsid w:val="00CC77FF"/>
    <w:rsid w:val="00CD3048"/>
    <w:rsid w:val="00CE08F9"/>
    <w:rsid w:val="00CE11DD"/>
    <w:rsid w:val="00CE32E1"/>
    <w:rsid w:val="00CE573A"/>
    <w:rsid w:val="00CF02B2"/>
    <w:rsid w:val="00CF4F18"/>
    <w:rsid w:val="00CF786E"/>
    <w:rsid w:val="00D12505"/>
    <w:rsid w:val="00D14B68"/>
    <w:rsid w:val="00D2262B"/>
    <w:rsid w:val="00D24F4F"/>
    <w:rsid w:val="00D2655C"/>
    <w:rsid w:val="00D31D39"/>
    <w:rsid w:val="00D33C4C"/>
    <w:rsid w:val="00D36227"/>
    <w:rsid w:val="00D426B6"/>
    <w:rsid w:val="00D42BED"/>
    <w:rsid w:val="00D45EDF"/>
    <w:rsid w:val="00D469D7"/>
    <w:rsid w:val="00D502EF"/>
    <w:rsid w:val="00D53B73"/>
    <w:rsid w:val="00D62225"/>
    <w:rsid w:val="00D63E0D"/>
    <w:rsid w:val="00D856B6"/>
    <w:rsid w:val="00D956E1"/>
    <w:rsid w:val="00D97533"/>
    <w:rsid w:val="00DA57CE"/>
    <w:rsid w:val="00DB1D7E"/>
    <w:rsid w:val="00DB47A3"/>
    <w:rsid w:val="00DB5EC4"/>
    <w:rsid w:val="00DD4CC1"/>
    <w:rsid w:val="00DD52D5"/>
    <w:rsid w:val="00DD678C"/>
    <w:rsid w:val="00DD71CF"/>
    <w:rsid w:val="00DE0C88"/>
    <w:rsid w:val="00DE2B6A"/>
    <w:rsid w:val="00DE555E"/>
    <w:rsid w:val="00DE70AA"/>
    <w:rsid w:val="00E025A1"/>
    <w:rsid w:val="00E028DA"/>
    <w:rsid w:val="00E0325B"/>
    <w:rsid w:val="00E07CAB"/>
    <w:rsid w:val="00E20E77"/>
    <w:rsid w:val="00E21693"/>
    <w:rsid w:val="00E22E74"/>
    <w:rsid w:val="00E323BE"/>
    <w:rsid w:val="00E32EDE"/>
    <w:rsid w:val="00E42C1F"/>
    <w:rsid w:val="00E438F0"/>
    <w:rsid w:val="00E518B8"/>
    <w:rsid w:val="00E54EEA"/>
    <w:rsid w:val="00E64436"/>
    <w:rsid w:val="00E803EC"/>
    <w:rsid w:val="00E821DC"/>
    <w:rsid w:val="00E84353"/>
    <w:rsid w:val="00E91EA3"/>
    <w:rsid w:val="00E95321"/>
    <w:rsid w:val="00E95F08"/>
    <w:rsid w:val="00EA5240"/>
    <w:rsid w:val="00EB514B"/>
    <w:rsid w:val="00EC27CB"/>
    <w:rsid w:val="00ED1C68"/>
    <w:rsid w:val="00ED1C8A"/>
    <w:rsid w:val="00ED52F2"/>
    <w:rsid w:val="00ED5E90"/>
    <w:rsid w:val="00ED78BC"/>
    <w:rsid w:val="00EE26BB"/>
    <w:rsid w:val="00EE3E78"/>
    <w:rsid w:val="00EE70E0"/>
    <w:rsid w:val="00EF532A"/>
    <w:rsid w:val="00F007FD"/>
    <w:rsid w:val="00F012A7"/>
    <w:rsid w:val="00F03A14"/>
    <w:rsid w:val="00F108CE"/>
    <w:rsid w:val="00F13256"/>
    <w:rsid w:val="00F13796"/>
    <w:rsid w:val="00F21993"/>
    <w:rsid w:val="00F229A5"/>
    <w:rsid w:val="00F2744E"/>
    <w:rsid w:val="00F303D8"/>
    <w:rsid w:val="00F57152"/>
    <w:rsid w:val="00F57FC1"/>
    <w:rsid w:val="00F6131F"/>
    <w:rsid w:val="00F636EC"/>
    <w:rsid w:val="00F67F4A"/>
    <w:rsid w:val="00F7066A"/>
    <w:rsid w:val="00F7108C"/>
    <w:rsid w:val="00F76C19"/>
    <w:rsid w:val="00F773EA"/>
    <w:rsid w:val="00F8728D"/>
    <w:rsid w:val="00F90516"/>
    <w:rsid w:val="00F93559"/>
    <w:rsid w:val="00F959A1"/>
    <w:rsid w:val="00FA4176"/>
    <w:rsid w:val="00FA5E38"/>
    <w:rsid w:val="00FA69AB"/>
    <w:rsid w:val="00FB45A3"/>
    <w:rsid w:val="00FB51C2"/>
    <w:rsid w:val="00FB6138"/>
    <w:rsid w:val="00FC468D"/>
    <w:rsid w:val="00FC5217"/>
    <w:rsid w:val="00FD4BE3"/>
    <w:rsid w:val="00FD4E09"/>
    <w:rsid w:val="00FE0851"/>
    <w:rsid w:val="00FF0100"/>
    <w:rsid w:val="00FF0AF0"/>
    <w:rsid w:val="00FF0AF7"/>
    <w:rsid w:val="00FF7C1F"/>
    <w:rsid w:val="02B1473A"/>
    <w:rsid w:val="03597792"/>
    <w:rsid w:val="03681740"/>
    <w:rsid w:val="037AB46E"/>
    <w:rsid w:val="084BF9EC"/>
    <w:rsid w:val="0864C631"/>
    <w:rsid w:val="08EE5FCA"/>
    <w:rsid w:val="0B02FDDE"/>
    <w:rsid w:val="0BE8C0D7"/>
    <w:rsid w:val="0C594FE7"/>
    <w:rsid w:val="0C755880"/>
    <w:rsid w:val="0DB8C2E1"/>
    <w:rsid w:val="0E7E9B75"/>
    <w:rsid w:val="0F43DB7E"/>
    <w:rsid w:val="0FC1BD62"/>
    <w:rsid w:val="0FD42F58"/>
    <w:rsid w:val="0FEB7A19"/>
    <w:rsid w:val="101F74EB"/>
    <w:rsid w:val="107D5FB1"/>
    <w:rsid w:val="10FD963A"/>
    <w:rsid w:val="136AC39F"/>
    <w:rsid w:val="143F9719"/>
    <w:rsid w:val="14A69020"/>
    <w:rsid w:val="14C7B6AC"/>
    <w:rsid w:val="152FB639"/>
    <w:rsid w:val="15E5DC48"/>
    <w:rsid w:val="16E320B4"/>
    <w:rsid w:val="176D27C6"/>
    <w:rsid w:val="1901559C"/>
    <w:rsid w:val="19838670"/>
    <w:rsid w:val="1AC35DBD"/>
    <w:rsid w:val="1BE8E901"/>
    <w:rsid w:val="1C5F6AF1"/>
    <w:rsid w:val="1EB8DE78"/>
    <w:rsid w:val="1F7BB29E"/>
    <w:rsid w:val="20406681"/>
    <w:rsid w:val="20AFE9E2"/>
    <w:rsid w:val="2106B3B2"/>
    <w:rsid w:val="21231EDC"/>
    <w:rsid w:val="244E49AE"/>
    <w:rsid w:val="2700FEC3"/>
    <w:rsid w:val="279DC09E"/>
    <w:rsid w:val="27EBA96A"/>
    <w:rsid w:val="29081BD8"/>
    <w:rsid w:val="2A83DE8F"/>
    <w:rsid w:val="2B0D31A9"/>
    <w:rsid w:val="2BC11C41"/>
    <w:rsid w:val="2C36A91C"/>
    <w:rsid w:val="2C846404"/>
    <w:rsid w:val="2D22ACA6"/>
    <w:rsid w:val="2E8AED7C"/>
    <w:rsid w:val="2EC889A8"/>
    <w:rsid w:val="2F5FBA82"/>
    <w:rsid w:val="2FA95356"/>
    <w:rsid w:val="2FA9A54E"/>
    <w:rsid w:val="300CF621"/>
    <w:rsid w:val="326F98CF"/>
    <w:rsid w:val="335BAD66"/>
    <w:rsid w:val="34ECA9FC"/>
    <w:rsid w:val="36C8FBFE"/>
    <w:rsid w:val="37050523"/>
    <w:rsid w:val="38438F05"/>
    <w:rsid w:val="38523F58"/>
    <w:rsid w:val="3873C606"/>
    <w:rsid w:val="38A5AF55"/>
    <w:rsid w:val="3B7009CC"/>
    <w:rsid w:val="3BABAFBA"/>
    <w:rsid w:val="3BCEFA2B"/>
    <w:rsid w:val="3D6C416F"/>
    <w:rsid w:val="3D8FA752"/>
    <w:rsid w:val="3EE2B904"/>
    <w:rsid w:val="40696C6B"/>
    <w:rsid w:val="40FE8DFD"/>
    <w:rsid w:val="4104963E"/>
    <w:rsid w:val="4192C154"/>
    <w:rsid w:val="41DC0D67"/>
    <w:rsid w:val="423A031A"/>
    <w:rsid w:val="45AA9152"/>
    <w:rsid w:val="45ECD882"/>
    <w:rsid w:val="469DAC21"/>
    <w:rsid w:val="46F9751B"/>
    <w:rsid w:val="47C46119"/>
    <w:rsid w:val="47F7286B"/>
    <w:rsid w:val="481B7721"/>
    <w:rsid w:val="48694BE6"/>
    <w:rsid w:val="488D2719"/>
    <w:rsid w:val="4CAB0A67"/>
    <w:rsid w:val="4EEBDFC4"/>
    <w:rsid w:val="50239A96"/>
    <w:rsid w:val="542CA462"/>
    <w:rsid w:val="55EB77BB"/>
    <w:rsid w:val="56098F86"/>
    <w:rsid w:val="56553AEA"/>
    <w:rsid w:val="5730B319"/>
    <w:rsid w:val="574DF34F"/>
    <w:rsid w:val="58402AE1"/>
    <w:rsid w:val="584FB746"/>
    <w:rsid w:val="591082A5"/>
    <w:rsid w:val="5C942457"/>
    <w:rsid w:val="5D6192F0"/>
    <w:rsid w:val="5E48947A"/>
    <w:rsid w:val="5E4DD5C9"/>
    <w:rsid w:val="60608A34"/>
    <w:rsid w:val="61BB52B6"/>
    <w:rsid w:val="62B186C5"/>
    <w:rsid w:val="62C6DC4A"/>
    <w:rsid w:val="63A75BC1"/>
    <w:rsid w:val="64FB777A"/>
    <w:rsid w:val="650C15A3"/>
    <w:rsid w:val="65379155"/>
    <w:rsid w:val="653C91AD"/>
    <w:rsid w:val="6578A085"/>
    <w:rsid w:val="662DA57E"/>
    <w:rsid w:val="672FB3C8"/>
    <w:rsid w:val="6A675B3B"/>
    <w:rsid w:val="6A6FB0B2"/>
    <w:rsid w:val="6ADDE9AB"/>
    <w:rsid w:val="6D67AA1C"/>
    <w:rsid w:val="6E40CD20"/>
    <w:rsid w:val="6EB28B7D"/>
    <w:rsid w:val="6EBB6337"/>
    <w:rsid w:val="6F0B2615"/>
    <w:rsid w:val="7024A604"/>
    <w:rsid w:val="72C3E87A"/>
    <w:rsid w:val="735CF4A4"/>
    <w:rsid w:val="74634AFC"/>
    <w:rsid w:val="755D7AEF"/>
    <w:rsid w:val="76CB5DA0"/>
    <w:rsid w:val="77565A07"/>
    <w:rsid w:val="778E9201"/>
    <w:rsid w:val="79997787"/>
    <w:rsid w:val="79B78354"/>
    <w:rsid w:val="79FFBC04"/>
    <w:rsid w:val="7A0770EE"/>
    <w:rsid w:val="7A8B3556"/>
    <w:rsid w:val="7C96D7DE"/>
    <w:rsid w:val="7DAD3FEC"/>
    <w:rsid w:val="7DD108D4"/>
    <w:rsid w:val="7F0A2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EEE79"/>
  <w15:chartTrackingRefBased/>
  <w15:docId w15:val="{584BFEEE-D7F5-4B27-93C5-FB268DDE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odyText">
    <w:name w:val="Body Text"/>
    <w:basedOn w:val="Normal"/>
    <w:semiHidden/>
    <w:pPr>
      <w:jc w:val="both"/>
    </w:pPr>
    <w:rPr>
      <w:sz w:val="24"/>
    </w:rPr>
  </w:style>
  <w:style w:type="paragraph" w:styleId="Header">
    <w:name w:val="header"/>
    <w:basedOn w:val="Normal"/>
    <w:link w:val="HeaderChar"/>
    <w:uiPriority w:val="99"/>
    <w:unhideWhenUsed/>
    <w:rsid w:val="003A3D97"/>
    <w:pPr>
      <w:tabs>
        <w:tab w:val="center" w:pos="4513"/>
        <w:tab w:val="right" w:pos="9026"/>
      </w:tabs>
    </w:pPr>
  </w:style>
  <w:style w:type="character" w:customStyle="1" w:styleId="HeaderChar">
    <w:name w:val="Header Char"/>
    <w:link w:val="Header"/>
    <w:uiPriority w:val="99"/>
    <w:rsid w:val="003A3D97"/>
    <w:rPr>
      <w:lang w:eastAsia="en-US"/>
    </w:rPr>
  </w:style>
  <w:style w:type="paragraph" w:styleId="Footer">
    <w:name w:val="footer"/>
    <w:basedOn w:val="Normal"/>
    <w:link w:val="FooterChar"/>
    <w:uiPriority w:val="99"/>
    <w:unhideWhenUsed/>
    <w:rsid w:val="003A3D97"/>
    <w:pPr>
      <w:tabs>
        <w:tab w:val="center" w:pos="4513"/>
        <w:tab w:val="right" w:pos="9026"/>
      </w:tabs>
    </w:pPr>
  </w:style>
  <w:style w:type="character" w:customStyle="1" w:styleId="FooterChar">
    <w:name w:val="Footer Char"/>
    <w:link w:val="Footer"/>
    <w:uiPriority w:val="99"/>
    <w:rsid w:val="003A3D97"/>
    <w:rPr>
      <w:lang w:eastAsia="en-US"/>
    </w:rPr>
  </w:style>
  <w:style w:type="paragraph" w:customStyle="1" w:styleId="BodyCopyWhite">
    <w:name w:val="Body Copy White"/>
    <w:basedOn w:val="Normal"/>
    <w:uiPriority w:val="99"/>
    <w:rsid w:val="0073245D"/>
    <w:pPr>
      <w:widowControl w:val="0"/>
      <w:suppressAutoHyphens/>
      <w:autoSpaceDE w:val="0"/>
      <w:autoSpaceDN w:val="0"/>
      <w:adjustRightInd w:val="0"/>
      <w:spacing w:after="227" w:line="200" w:lineRule="atLeast"/>
      <w:textAlignment w:val="center"/>
    </w:pPr>
    <w:rPr>
      <w:rFonts w:ascii="FilsonProBook" w:hAnsi="FilsonProBook" w:cs="FilsonProBook"/>
      <w:color w:val="FFFFFF"/>
      <w:spacing w:val="4"/>
      <w:sz w:val="16"/>
      <w:szCs w:val="16"/>
    </w:rPr>
  </w:style>
  <w:style w:type="paragraph" w:styleId="ListParagraph">
    <w:name w:val="List Paragraph"/>
    <w:basedOn w:val="Normal"/>
    <w:uiPriority w:val="99"/>
    <w:qFormat/>
    <w:rsid w:val="008E28D4"/>
    <w:pPr>
      <w:ind w:left="720"/>
    </w:pPr>
    <w:rPr>
      <w:sz w:val="24"/>
      <w:szCs w:val="24"/>
      <w:lang w:eastAsia="en-GB"/>
    </w:rPr>
  </w:style>
  <w:style w:type="paragraph" w:styleId="NoSpacing">
    <w:name w:val="No Spacing"/>
    <w:uiPriority w:val="1"/>
    <w:qFormat/>
    <w:rsid w:val="008E28D4"/>
    <w:rPr>
      <w:sz w:val="24"/>
      <w:szCs w:val="24"/>
    </w:rPr>
  </w:style>
  <w:style w:type="paragraph" w:styleId="Revision">
    <w:name w:val="Revision"/>
    <w:hidden/>
    <w:uiPriority w:val="99"/>
    <w:semiHidden/>
    <w:rsid w:val="00321F6A"/>
    <w:rPr>
      <w:lang w:eastAsia="en-US"/>
    </w:rPr>
  </w:style>
  <w:style w:type="character" w:styleId="CommentReference">
    <w:name w:val="annotation reference"/>
    <w:basedOn w:val="DefaultParagraphFont"/>
    <w:uiPriority w:val="99"/>
    <w:semiHidden/>
    <w:unhideWhenUsed/>
    <w:rsid w:val="00321F6A"/>
    <w:rPr>
      <w:sz w:val="16"/>
      <w:szCs w:val="16"/>
    </w:rPr>
  </w:style>
  <w:style w:type="paragraph" w:styleId="CommentText">
    <w:name w:val="annotation text"/>
    <w:basedOn w:val="Normal"/>
    <w:link w:val="CommentTextChar"/>
    <w:uiPriority w:val="99"/>
    <w:unhideWhenUsed/>
    <w:rsid w:val="00321F6A"/>
  </w:style>
  <w:style w:type="character" w:customStyle="1" w:styleId="CommentTextChar">
    <w:name w:val="Comment Text Char"/>
    <w:basedOn w:val="DefaultParagraphFont"/>
    <w:link w:val="CommentText"/>
    <w:uiPriority w:val="99"/>
    <w:rsid w:val="00321F6A"/>
    <w:rPr>
      <w:lang w:eastAsia="en-US"/>
    </w:rPr>
  </w:style>
  <w:style w:type="paragraph" w:styleId="CommentSubject">
    <w:name w:val="annotation subject"/>
    <w:basedOn w:val="CommentText"/>
    <w:next w:val="CommentText"/>
    <w:link w:val="CommentSubjectChar"/>
    <w:uiPriority w:val="99"/>
    <w:semiHidden/>
    <w:unhideWhenUsed/>
    <w:rsid w:val="00321F6A"/>
    <w:rPr>
      <w:b/>
      <w:bCs/>
    </w:rPr>
  </w:style>
  <w:style w:type="character" w:customStyle="1" w:styleId="CommentSubjectChar">
    <w:name w:val="Comment Subject Char"/>
    <w:basedOn w:val="CommentTextChar"/>
    <w:link w:val="CommentSubject"/>
    <w:uiPriority w:val="99"/>
    <w:semiHidden/>
    <w:rsid w:val="00321F6A"/>
    <w:rPr>
      <w:b/>
      <w:bCs/>
      <w:lang w:eastAsia="en-US"/>
    </w:rPr>
  </w:style>
  <w:style w:type="table" w:styleId="TableGrid">
    <w:name w:val="Table Grid"/>
    <w:basedOn w:val="TableNormal"/>
    <w:uiPriority w:val="59"/>
    <w:rsid w:val="008F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64436"/>
    <w:rPr>
      <w:rFonts w:ascii="Segoe UI" w:hAnsi="Segoe UI" w:cs="Segoe UI" w:hint="default"/>
      <w:sz w:val="18"/>
      <w:szCs w:val="18"/>
    </w:rPr>
  </w:style>
  <w:style w:type="character" w:customStyle="1" w:styleId="normaltextrun">
    <w:name w:val="normaltextrun"/>
    <w:basedOn w:val="DefaultParagraphFont"/>
    <w:rsid w:val="00DE70AA"/>
  </w:style>
  <w:style w:type="character" w:customStyle="1" w:styleId="eop">
    <w:name w:val="eop"/>
    <w:basedOn w:val="DefaultParagraphFont"/>
    <w:rsid w:val="00DE70AA"/>
  </w:style>
  <w:style w:type="paragraph" w:customStyle="1" w:styleId="pf0">
    <w:name w:val="pf0"/>
    <w:basedOn w:val="Normal"/>
    <w:rsid w:val="00AD7E90"/>
    <w:pPr>
      <w:spacing w:before="100" w:beforeAutospacing="1" w:after="100" w:afterAutospacing="1"/>
    </w:pPr>
    <w:rPr>
      <w:sz w:val="24"/>
      <w:szCs w:val="24"/>
      <w:lang w:eastAsia="en-GB"/>
    </w:rPr>
  </w:style>
  <w:style w:type="paragraph" w:customStyle="1" w:styleId="TableParagraph">
    <w:name w:val="Table Paragraph"/>
    <w:basedOn w:val="Normal"/>
    <w:uiPriority w:val="1"/>
    <w:qFormat/>
    <w:rsid w:val="00145A99"/>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072873">
      <w:bodyDiv w:val="1"/>
      <w:marLeft w:val="0"/>
      <w:marRight w:val="0"/>
      <w:marTop w:val="0"/>
      <w:marBottom w:val="0"/>
      <w:divBdr>
        <w:top w:val="none" w:sz="0" w:space="0" w:color="auto"/>
        <w:left w:val="none" w:sz="0" w:space="0" w:color="auto"/>
        <w:bottom w:val="none" w:sz="0" w:space="0" w:color="auto"/>
        <w:right w:val="none" w:sz="0" w:space="0" w:color="auto"/>
      </w:divBdr>
    </w:div>
    <w:div w:id="592128194">
      <w:bodyDiv w:val="1"/>
      <w:marLeft w:val="0"/>
      <w:marRight w:val="0"/>
      <w:marTop w:val="0"/>
      <w:marBottom w:val="0"/>
      <w:divBdr>
        <w:top w:val="none" w:sz="0" w:space="0" w:color="auto"/>
        <w:left w:val="none" w:sz="0" w:space="0" w:color="auto"/>
        <w:bottom w:val="none" w:sz="0" w:space="0" w:color="auto"/>
        <w:right w:val="none" w:sz="0" w:space="0" w:color="auto"/>
      </w:divBdr>
    </w:div>
    <w:div w:id="852650969">
      <w:bodyDiv w:val="1"/>
      <w:marLeft w:val="0"/>
      <w:marRight w:val="0"/>
      <w:marTop w:val="0"/>
      <w:marBottom w:val="0"/>
      <w:divBdr>
        <w:top w:val="none" w:sz="0" w:space="0" w:color="auto"/>
        <w:left w:val="none" w:sz="0" w:space="0" w:color="auto"/>
        <w:bottom w:val="none" w:sz="0" w:space="0" w:color="auto"/>
        <w:right w:val="none" w:sz="0" w:space="0" w:color="auto"/>
      </w:divBdr>
    </w:div>
    <w:div w:id="1452355056">
      <w:bodyDiv w:val="1"/>
      <w:marLeft w:val="0"/>
      <w:marRight w:val="0"/>
      <w:marTop w:val="0"/>
      <w:marBottom w:val="0"/>
      <w:divBdr>
        <w:top w:val="none" w:sz="0" w:space="0" w:color="auto"/>
        <w:left w:val="none" w:sz="0" w:space="0" w:color="auto"/>
        <w:bottom w:val="none" w:sz="0" w:space="0" w:color="auto"/>
        <w:right w:val="none" w:sz="0" w:space="0" w:color="auto"/>
      </w:divBdr>
    </w:div>
    <w:div w:id="1581255240">
      <w:bodyDiv w:val="1"/>
      <w:marLeft w:val="0"/>
      <w:marRight w:val="0"/>
      <w:marTop w:val="0"/>
      <w:marBottom w:val="0"/>
      <w:divBdr>
        <w:top w:val="none" w:sz="0" w:space="0" w:color="auto"/>
        <w:left w:val="none" w:sz="0" w:space="0" w:color="auto"/>
        <w:bottom w:val="none" w:sz="0" w:space="0" w:color="auto"/>
        <w:right w:val="none" w:sz="0" w:space="0" w:color="auto"/>
      </w:divBdr>
    </w:div>
    <w:div w:id="1631665220">
      <w:bodyDiv w:val="1"/>
      <w:marLeft w:val="0"/>
      <w:marRight w:val="0"/>
      <w:marTop w:val="0"/>
      <w:marBottom w:val="0"/>
      <w:divBdr>
        <w:top w:val="none" w:sz="0" w:space="0" w:color="auto"/>
        <w:left w:val="none" w:sz="0" w:space="0" w:color="auto"/>
        <w:bottom w:val="none" w:sz="0" w:space="0" w:color="auto"/>
        <w:right w:val="none" w:sz="0" w:space="0" w:color="auto"/>
      </w:divBdr>
    </w:div>
    <w:div w:id="16610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560C1B1FFCD4485435AF10A3705FD" ma:contentTypeVersion="11" ma:contentTypeDescription="Create a new document." ma:contentTypeScope="" ma:versionID="00a1aa904046d9cd040ff731126828e7">
  <xsd:schema xmlns:xsd="http://www.w3.org/2001/XMLSchema" xmlns:xs="http://www.w3.org/2001/XMLSchema" xmlns:p="http://schemas.microsoft.com/office/2006/metadata/properties" xmlns:ns2="7d204ab8-ee25-4abc-8c1f-a137f66682e7" targetNamespace="http://schemas.microsoft.com/office/2006/metadata/properties" ma:root="true" ma:fieldsID="47ffdd1a2d30ab0df96d89246159cd28" ns2:_="">
    <xsd:import namespace="7d204ab8-ee25-4abc-8c1f-a137f66682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4ab8-ee25-4abc-8c1f-a137f666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6BBEF-179D-4D58-B2BE-F80917F2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04ab8-ee25-4abc-8c1f-a137f666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398C-9094-4AB0-B6C6-7BBD41CB10F6}">
  <ds:schemaRefs>
    <ds:schemaRef ds:uri="http://schemas.microsoft.com/sharepoint/v3/contenttype/forms"/>
  </ds:schemaRefs>
</ds:datastoreItem>
</file>

<file path=customXml/itemProps3.xml><?xml version="1.0" encoding="utf-8"?>
<ds:datastoreItem xmlns:ds="http://schemas.openxmlformats.org/officeDocument/2006/customXml" ds:itemID="{D67B4B76-2236-432B-91BB-3A85DE51EE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2737</Words>
  <Characters>15601</Characters>
  <Application>Microsoft Office Word</Application>
  <DocSecurity>0</DocSecurity>
  <Lines>130</Lines>
  <Paragraphs>36</Paragraphs>
  <ScaleCrop>false</ScaleCrop>
  <Company>Liverpool Housing Trust</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AG19 &amp; AG20 - NSP Reminder Letter</dc:title>
  <dc:subject/>
  <dc:creator>The IT Department</dc:creator>
  <cp:keywords/>
  <cp:lastModifiedBy>Lowe, Ann</cp:lastModifiedBy>
  <cp:revision>2</cp:revision>
  <cp:lastPrinted>1999-04-08T07:21:00Z</cp:lastPrinted>
  <dcterms:created xsi:type="dcterms:W3CDTF">2024-06-20T06:42:00Z</dcterms:created>
  <dcterms:modified xsi:type="dcterms:W3CDTF">2024-06-20T06:42:00Z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0x010100C7F560C1B1FFCD4485435AF10A3705FD</vt:lpwstr>
  </property>
</Properties>
</file>