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4EE2" w14:textId="77777777" w:rsidR="003B3C67" w:rsidRPr="00F61C75" w:rsidRDefault="003B3C6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C77773" w:rsidRPr="00005C85" w14:paraId="198184C3" w14:textId="77777777" w:rsidTr="00E5782B">
        <w:trPr>
          <w:tblHeader/>
        </w:trPr>
        <w:tc>
          <w:tcPr>
            <w:tcW w:w="13603" w:type="dxa"/>
            <w:shd w:val="clear" w:color="auto" w:fill="7030A0"/>
          </w:tcPr>
          <w:p w14:paraId="77061B6D" w14:textId="77777777" w:rsidR="003B3C67" w:rsidRPr="00005C85" w:rsidRDefault="003B3C67" w:rsidP="00C7777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14:paraId="405710F2" w14:textId="00C9E3A6" w:rsidR="00C77773" w:rsidRPr="00005C85" w:rsidRDefault="00C77773" w:rsidP="00C7777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05C8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LOCAL LETTINGS </w:t>
            </w:r>
            <w:r w:rsidR="00D222E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PLAN</w:t>
            </w:r>
          </w:p>
          <w:p w14:paraId="6731E090" w14:textId="77777777" w:rsidR="00C77773" w:rsidRPr="00005C85" w:rsidRDefault="00C77773" w:rsidP="00C7777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14:paraId="7F80ED8B" w14:textId="6D27D09D" w:rsidR="00C77773" w:rsidRPr="00005C85" w:rsidRDefault="00530643" w:rsidP="00FC3F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Lunts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 Heath Rise, Widnes</w:t>
            </w:r>
            <w:r w:rsidR="0008342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, </w:t>
            </w:r>
            <w:r w:rsidR="00733F2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Cheshire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 </w:t>
            </w:r>
          </w:p>
          <w:p w14:paraId="1025E9A8" w14:textId="77777777" w:rsidR="00FC3F5A" w:rsidRPr="00005C85" w:rsidRDefault="00FC3F5A" w:rsidP="00FC3F5A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013D4" w:rsidRPr="00005C85" w14:paraId="331626DA" w14:textId="77777777" w:rsidTr="005013D4">
        <w:tc>
          <w:tcPr>
            <w:tcW w:w="13603" w:type="dxa"/>
          </w:tcPr>
          <w:p w14:paraId="18CEDF32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E3B6F" w14:textId="56881E8E" w:rsidR="005013D4" w:rsidRPr="00005C85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005C8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Introduction / Background to the Site</w:t>
            </w:r>
          </w:p>
          <w:p w14:paraId="775B1376" w14:textId="5BCD0B78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3DF1A7" w14:textId="129DC6F6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t xml:space="preserve">The introduction of this Local Lettings Plan </w:t>
            </w:r>
            <w:r w:rsidR="0008342C">
              <w:rPr>
                <w:rFonts w:ascii="Arial" w:hAnsi="Arial" w:cs="Arial"/>
                <w:sz w:val="22"/>
                <w:szCs w:val="22"/>
              </w:rPr>
              <w:t>for</w:t>
            </w:r>
            <w:r w:rsidR="003C3FD3">
              <w:rPr>
                <w:rFonts w:ascii="Arial" w:hAnsi="Arial" w:cs="Arial"/>
                <w:sz w:val="22"/>
                <w:szCs w:val="22"/>
              </w:rPr>
              <w:t xml:space="preserve"> Halton Housings new development at</w:t>
            </w:r>
            <w:r w:rsidR="000834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30643">
              <w:rPr>
                <w:rFonts w:ascii="Arial" w:hAnsi="Arial" w:cs="Arial"/>
                <w:sz w:val="22"/>
                <w:szCs w:val="22"/>
              </w:rPr>
              <w:t>Lunts</w:t>
            </w:r>
            <w:proofErr w:type="spellEnd"/>
            <w:r w:rsidR="00530643">
              <w:rPr>
                <w:rFonts w:ascii="Arial" w:hAnsi="Arial" w:cs="Arial"/>
                <w:sz w:val="22"/>
                <w:szCs w:val="22"/>
              </w:rPr>
              <w:t xml:space="preserve"> Heath Rise</w:t>
            </w:r>
            <w:r w:rsidR="003A5A67">
              <w:rPr>
                <w:rFonts w:ascii="Arial" w:hAnsi="Arial" w:cs="Arial"/>
                <w:sz w:val="22"/>
                <w:szCs w:val="22"/>
              </w:rPr>
              <w:t>,</w:t>
            </w:r>
            <w:r w:rsidR="00530643">
              <w:rPr>
                <w:rFonts w:ascii="Arial" w:hAnsi="Arial" w:cs="Arial"/>
                <w:sz w:val="22"/>
                <w:szCs w:val="22"/>
              </w:rPr>
              <w:t xml:space="preserve"> Widnes</w:t>
            </w:r>
            <w:r w:rsidR="003A5A67">
              <w:rPr>
                <w:rFonts w:ascii="Arial" w:hAnsi="Arial" w:cs="Arial"/>
                <w:sz w:val="22"/>
                <w:szCs w:val="22"/>
              </w:rPr>
              <w:t xml:space="preserve"> Cheshire </w:t>
            </w:r>
            <w:r w:rsidR="003C3FD3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is based upon the Halton Housings desire to ensure balanced </w:t>
            </w:r>
            <w:r w:rsidR="0008342C">
              <w:rPr>
                <w:rFonts w:ascii="Arial" w:hAnsi="Arial" w:cs="Arial"/>
                <w:sz w:val="22"/>
                <w:szCs w:val="22"/>
              </w:rPr>
              <w:t xml:space="preserve">and cohesive </w:t>
            </w:r>
            <w:r w:rsidRPr="00005C85">
              <w:rPr>
                <w:rFonts w:ascii="Arial" w:hAnsi="Arial" w:cs="Arial"/>
                <w:sz w:val="22"/>
                <w:szCs w:val="22"/>
              </w:rPr>
              <w:t>communit</w:t>
            </w:r>
            <w:r w:rsidR="00A61370">
              <w:rPr>
                <w:rFonts w:ascii="Arial" w:hAnsi="Arial" w:cs="Arial"/>
                <w:sz w:val="22"/>
                <w:szCs w:val="22"/>
              </w:rPr>
              <w:t>ies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 where sustainable tenancies can be achieved.</w:t>
            </w:r>
            <w:r w:rsidR="003A5A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41B2B3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8DAA9B" w14:textId="104B39BF" w:rsidR="005013D4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A5A67">
              <w:rPr>
                <w:rFonts w:ascii="Arial" w:hAnsi="Arial" w:cs="Arial"/>
                <w:sz w:val="22"/>
                <w:szCs w:val="22"/>
              </w:rPr>
              <w:t xml:space="preserve">development comprises of a mixed tenure consisting of </w:t>
            </w:r>
            <w:r w:rsidR="00530643">
              <w:rPr>
                <w:rFonts w:ascii="Arial" w:hAnsi="Arial" w:cs="Arial"/>
                <w:sz w:val="22"/>
                <w:szCs w:val="22"/>
              </w:rPr>
              <w:t>34</w:t>
            </w:r>
            <w:r w:rsidR="003A5A67">
              <w:rPr>
                <w:rFonts w:ascii="Arial" w:hAnsi="Arial" w:cs="Arial"/>
                <w:sz w:val="22"/>
                <w:szCs w:val="22"/>
              </w:rPr>
              <w:t xml:space="preserve"> Affordable rented properties, and</w:t>
            </w:r>
            <w:r w:rsidR="00530643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3A5A67">
              <w:rPr>
                <w:rFonts w:ascii="Arial" w:hAnsi="Arial" w:cs="Arial"/>
                <w:sz w:val="22"/>
                <w:szCs w:val="22"/>
              </w:rPr>
              <w:t xml:space="preserve"> Shared Ownership properties</w:t>
            </w:r>
            <w:r w:rsidR="00530643">
              <w:rPr>
                <w:rFonts w:ascii="Arial" w:hAnsi="Arial" w:cs="Arial"/>
                <w:sz w:val="22"/>
                <w:szCs w:val="22"/>
              </w:rPr>
              <w:t xml:space="preserve">, and the properties have been obtained under a section 106 Agreement with Miller Homes. </w:t>
            </w:r>
            <w:r w:rsidR="00067245">
              <w:rPr>
                <w:rFonts w:ascii="Arial" w:hAnsi="Arial" w:cs="Arial"/>
                <w:sz w:val="22"/>
                <w:szCs w:val="22"/>
              </w:rPr>
              <w:t xml:space="preserve">Please click here for </w:t>
            </w:r>
            <w:r w:rsidR="005B4B90">
              <w:rPr>
                <w:rFonts w:ascii="Arial" w:hAnsi="Arial" w:cs="Arial"/>
                <w:sz w:val="22"/>
                <w:szCs w:val="22"/>
              </w:rPr>
              <w:t xml:space="preserve">more details </w:t>
            </w:r>
            <w:hyperlink r:id="rId8" w:history="1">
              <w:proofErr w:type="spellStart"/>
              <w:r w:rsidR="00C456AE" w:rsidRPr="00C456AE">
                <w:rPr>
                  <w:rStyle w:val="Hyperlink"/>
                  <w:rFonts w:ascii="Arial" w:hAnsi="Arial" w:cs="Arial"/>
                  <w:sz w:val="22"/>
                  <w:szCs w:val="22"/>
                </w:rPr>
                <w:t>Lunts</w:t>
              </w:r>
              <w:proofErr w:type="spellEnd"/>
              <w:r w:rsidR="00C456AE" w:rsidRPr="00C456A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Heath Rise | Halton Housing</w:t>
              </w:r>
            </w:hyperlink>
          </w:p>
          <w:p w14:paraId="5D691CD9" w14:textId="77777777" w:rsidR="00EC2C28" w:rsidRDefault="00EC2C28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15918B" w14:textId="5584A98B" w:rsidR="003A5A67" w:rsidRDefault="003A5A67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is proposed that Halton Housing will allocate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 majority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its Affordable rented properties via the Choice Based Platform Property Pool Plus (PPP)</w:t>
            </w:r>
            <w:r w:rsidR="00EC2C28">
              <w:rPr>
                <w:rFonts w:ascii="Arial" w:hAnsi="Arial" w:cs="Arial"/>
                <w:sz w:val="22"/>
                <w:szCs w:val="22"/>
              </w:rPr>
              <w:t>, however also reserving the right to allocate a small number of properties internally via their own Lettings Policy where appropriate.</w:t>
            </w:r>
          </w:p>
          <w:p w14:paraId="58A92996" w14:textId="77777777" w:rsidR="00EC2C28" w:rsidRDefault="00EC2C28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F888C7" w14:textId="287E6D87" w:rsidR="00EC2C28" w:rsidRDefault="00EC2C28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will be 1</w:t>
            </w:r>
            <w:r w:rsidR="0053064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53064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bedroom and </w:t>
            </w:r>
            <w:r w:rsidR="00B4215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2 x </w:t>
            </w:r>
            <w:r w:rsidR="00B4215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-bedroom </w:t>
            </w:r>
            <w:r w:rsidR="00B4215B">
              <w:rPr>
                <w:rFonts w:ascii="Arial" w:hAnsi="Arial" w:cs="Arial"/>
                <w:sz w:val="22"/>
                <w:szCs w:val="22"/>
              </w:rPr>
              <w:t>Apartments/</w:t>
            </w:r>
            <w:r w:rsidR="00B23767">
              <w:rPr>
                <w:rFonts w:ascii="Arial" w:hAnsi="Arial" w:cs="Arial"/>
                <w:sz w:val="22"/>
                <w:szCs w:val="22"/>
              </w:rPr>
              <w:t>Maisonette’s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will be allocated under Affordable rent, with the first </w:t>
            </w:r>
            <w:r w:rsidR="00B4215B">
              <w:rPr>
                <w:rFonts w:ascii="Arial" w:hAnsi="Arial" w:cs="Arial"/>
                <w:sz w:val="22"/>
                <w:szCs w:val="22"/>
              </w:rPr>
              <w:t>13 Apartments/Maisonette’s are</w:t>
            </w:r>
            <w:r>
              <w:rPr>
                <w:rFonts w:ascii="Arial" w:hAnsi="Arial" w:cs="Arial"/>
                <w:sz w:val="22"/>
                <w:szCs w:val="22"/>
              </w:rPr>
              <w:t xml:space="preserve"> due to be handed over from </w:t>
            </w:r>
            <w:r w:rsidR="00B4215B">
              <w:rPr>
                <w:rFonts w:ascii="Arial" w:hAnsi="Arial" w:cs="Arial"/>
                <w:sz w:val="22"/>
                <w:szCs w:val="22"/>
              </w:rPr>
              <w:t>Miller Homes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D52">
              <w:rPr>
                <w:rFonts w:ascii="Arial" w:hAnsi="Arial" w:cs="Arial"/>
                <w:sz w:val="22"/>
                <w:szCs w:val="22"/>
              </w:rPr>
              <w:t xml:space="preserve">on or near </w:t>
            </w:r>
            <w:r w:rsidR="00B4215B">
              <w:rPr>
                <w:rFonts w:ascii="Arial" w:hAnsi="Arial" w:cs="Arial"/>
                <w:sz w:val="22"/>
                <w:szCs w:val="22"/>
              </w:rPr>
              <w:t>30</w:t>
            </w:r>
            <w:r w:rsidR="00C72D52" w:rsidRPr="00C72D5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72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15B">
              <w:rPr>
                <w:rFonts w:ascii="Arial" w:hAnsi="Arial" w:cs="Arial"/>
                <w:sz w:val="22"/>
                <w:szCs w:val="22"/>
              </w:rPr>
              <w:t>May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the remaining properties </w:t>
            </w:r>
            <w:r w:rsidR="00B4215B">
              <w:rPr>
                <w:rFonts w:ascii="Arial" w:hAnsi="Arial" w:cs="Arial"/>
                <w:sz w:val="22"/>
                <w:szCs w:val="22"/>
              </w:rPr>
              <w:t xml:space="preserve">will be handed over Autumn </w:t>
            </w:r>
            <w:r w:rsidR="00C72D52">
              <w:rPr>
                <w:rFonts w:ascii="Arial" w:hAnsi="Arial" w:cs="Arial"/>
                <w:sz w:val="22"/>
                <w:szCs w:val="22"/>
              </w:rPr>
              <w:t>2025</w:t>
            </w:r>
            <w:r w:rsidR="00124BA6">
              <w:rPr>
                <w:rFonts w:ascii="Arial" w:hAnsi="Arial" w:cs="Arial"/>
                <w:sz w:val="22"/>
                <w:szCs w:val="22"/>
              </w:rPr>
              <w:t>, see table below.</w:t>
            </w:r>
            <w:r w:rsidR="00C72D52">
              <w:rPr>
                <w:rFonts w:ascii="Arial" w:hAnsi="Arial" w:cs="Arial"/>
                <w:sz w:val="22"/>
                <w:szCs w:val="22"/>
              </w:rPr>
              <w:t xml:space="preserve"> (please note handover date to be used as a guide only)</w:t>
            </w:r>
            <w:r w:rsidR="00B4215B">
              <w:rPr>
                <w:rFonts w:ascii="Arial" w:hAnsi="Arial" w:cs="Arial"/>
                <w:sz w:val="22"/>
                <w:szCs w:val="22"/>
              </w:rPr>
              <w:t xml:space="preserve">. It is worth noting that </w:t>
            </w:r>
            <w:r w:rsidR="00031024">
              <w:rPr>
                <w:rFonts w:ascii="Arial" w:hAnsi="Arial" w:cs="Arial"/>
                <w:sz w:val="22"/>
                <w:szCs w:val="22"/>
              </w:rPr>
              <w:t>7 ground floor</w:t>
            </w:r>
            <w:r w:rsidR="00737F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15B">
              <w:rPr>
                <w:rFonts w:ascii="Arial" w:hAnsi="Arial" w:cs="Arial"/>
                <w:sz w:val="22"/>
                <w:szCs w:val="22"/>
              </w:rPr>
              <w:t xml:space="preserve">apartments will have level access </w:t>
            </w:r>
            <w:proofErr w:type="gramStart"/>
            <w:r w:rsidR="00B4215B">
              <w:rPr>
                <w:rFonts w:ascii="Arial" w:hAnsi="Arial" w:cs="Arial"/>
                <w:sz w:val="22"/>
                <w:szCs w:val="22"/>
              </w:rPr>
              <w:t>bathrooms, and</w:t>
            </w:r>
            <w:proofErr w:type="gramEnd"/>
            <w:r w:rsidR="00B4215B">
              <w:rPr>
                <w:rFonts w:ascii="Arial" w:hAnsi="Arial" w:cs="Arial"/>
                <w:sz w:val="22"/>
                <w:szCs w:val="22"/>
              </w:rPr>
              <w:t xml:space="preserve"> will be allocated to those people who have been medically assessed as requiring such adaptations.</w:t>
            </w:r>
          </w:p>
          <w:p w14:paraId="71E9746C" w14:textId="77777777" w:rsidR="00733F24" w:rsidRDefault="00733F2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4280" w:type="dxa"/>
              <w:tblLook w:val="04A0" w:firstRow="1" w:lastRow="0" w:firstColumn="1" w:lastColumn="0" w:noHBand="0" w:noVBand="1"/>
            </w:tblPr>
            <w:tblGrid>
              <w:gridCol w:w="857"/>
              <w:gridCol w:w="931"/>
              <w:gridCol w:w="1824"/>
              <w:gridCol w:w="953"/>
              <w:gridCol w:w="936"/>
              <w:gridCol w:w="932"/>
              <w:gridCol w:w="955"/>
              <w:gridCol w:w="1671"/>
              <w:gridCol w:w="936"/>
              <w:gridCol w:w="1399"/>
              <w:gridCol w:w="936"/>
              <w:gridCol w:w="936"/>
              <w:gridCol w:w="936"/>
            </w:tblGrid>
            <w:tr w:rsidR="00530643" w:rsidRPr="00530643" w14:paraId="217396A0" w14:textId="77777777" w:rsidTr="00530643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34B51CD9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Plot No.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vAlign w:val="bottom"/>
                  <w:hideMark/>
                </w:tcPr>
                <w:p w14:paraId="2320774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Property No.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2F8C3BA7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Street Name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vAlign w:val="bottom"/>
                  <w:hideMark/>
                </w:tcPr>
                <w:p w14:paraId="31D9483D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Location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77B52C7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Post Code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vAlign w:val="bottom"/>
                  <w:hideMark/>
                </w:tcPr>
                <w:p w14:paraId="7C76D48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Property Class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vAlign w:val="bottom"/>
                  <w:hideMark/>
                </w:tcPr>
                <w:p w14:paraId="75C4F57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48 weeks rent at 80% of market rent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2009EB1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Property Type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378D8E6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Build Year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vAlign w:val="bottom"/>
                  <w:hideMark/>
                </w:tcPr>
                <w:p w14:paraId="4C9BE6B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Exp.Handover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Date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vAlign w:val="bottom"/>
                  <w:hideMark/>
                </w:tcPr>
                <w:p w14:paraId="13EF05A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No. Living Rms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vAlign w:val="bottom"/>
                  <w:hideMark/>
                </w:tcPr>
                <w:p w14:paraId="53B78A5D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No.    </w:t>
                  </w: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Dble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Brms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vAlign w:val="bottom"/>
                  <w:hideMark/>
                </w:tcPr>
                <w:p w14:paraId="4343F75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No. </w:t>
                  </w: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Sgle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Brms</w:t>
                  </w:r>
                </w:p>
              </w:tc>
            </w:tr>
            <w:tr w:rsidR="00530643" w:rsidRPr="00530643" w14:paraId="19CFA35D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6347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6B55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849E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Delville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Wood Drive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75D9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F02D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5EF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CAB6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94CB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0D35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84F5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80F2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90EA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3CFD9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96DA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256ADA8A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AF39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FA24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23187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Delville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Wood Drive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2BB72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DCF1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5EF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F8F6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D7CF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111F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BD81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E11F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43D9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BDCA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C530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6C5AE6AF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E982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lastRenderedPageBreak/>
                    <w:t>63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0F17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BD9B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Delville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Wood Drive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B1A0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1E69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5EF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71DB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BFBE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BA1A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5BAF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194A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FBF9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4BF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E08F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181C5C6C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0CA8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74A2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5A12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Delville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Wood Drive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411D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E03B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5EF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107F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BD7C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13AC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95E3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15FA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EFEB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F11D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C510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587E2ADC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25289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5073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D03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Delville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Wood Drive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CEF8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CB31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5EF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FCFB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0DFE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A3F6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F9C9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68FC9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710C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C48D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314B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2BF87E02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F224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3986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B46C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Delville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Wood Drive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6BDB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A1B7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5EF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D287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5E41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D6E6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02F0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98E7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C34E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6D73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C1E0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78002C26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6E48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AB62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C157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Delville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Wood Drive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17C9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62D7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5EF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BCC89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2591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1BA5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5F33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088D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F0769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C166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4E77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7A5F1747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A93E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A017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7945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proofErr w:type="spellStart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Delville</w:t>
                  </w:r>
                  <w:proofErr w:type="spellEnd"/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 Wood Drive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394F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6B81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5EF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268C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AB39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8C0A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2EEC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F1FA9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E684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3CD2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31F9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0B4108F6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E69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6388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40D9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AB65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323C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0EEF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BAFC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3346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ED68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88A8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636C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047C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FB00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610FAF4D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187F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A6E0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B7462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CA0C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0CF9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84012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EF48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831A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6374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4581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36ED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1540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1636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29F72C32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4F5F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DBCA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B596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11B9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BFD3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D276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C815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ABCE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E8D2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A5F8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F544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1BF6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98DF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726DAD4B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7453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8358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9C23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BEFA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68ED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1F95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844E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8C6F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4975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DC5C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885D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40F5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DE60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0766AED9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E1CE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7406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E86B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2BF2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ADB4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B3CE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BA14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85387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9376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EA68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799E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2AD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3A61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6A5969DA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E780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04D9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C41A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0D58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B8429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A11F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0920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F6AE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47DD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BEF0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EB90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D7D0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1C7C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35009C8E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EC8D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CC7C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858E2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6CD2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98FDD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0CF5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E8C4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8539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Second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A97F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605E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E2B5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1851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ABC8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32C4AACD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2CEE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91DA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4966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B6A99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566B9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2737D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569A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35DC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Second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145A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8FD0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F5FE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E74B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03D8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1B7D1F27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936A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lastRenderedPageBreak/>
                    <w:t>212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205F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B02F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Mesen Road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E50DD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12DE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5EQ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A443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6E6C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FBFC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Second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CEF5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93D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026E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2414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FA30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0A484BCD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0E11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283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781C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B5E8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McStay Close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63EB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05B5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C7A7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3C02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ED76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B733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F360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7B35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79E1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8CCD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7D93CFE9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0A15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B0E8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83AA9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McStay Close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F506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BF4D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D37F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8163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8BA4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E491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6223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C4AD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EE06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4D81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35E08FEA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C15C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B6D8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664E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McStay Close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AECD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C703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9905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474B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F438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EC6B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9720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86EC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F9CC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DF36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06F64112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DCC6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6DDA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190B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McStay Close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A3099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72F5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F89D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9207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£155.00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FDAD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A260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15A1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A211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5199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2CD2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0</w:t>
                  </w:r>
                </w:p>
              </w:tc>
            </w:tr>
            <w:tr w:rsidR="00530643" w:rsidRPr="00530643" w14:paraId="7453D721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AFD79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ACBB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5431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C3BC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CFF8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3C286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A586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E83C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2DFC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0E99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EBE3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52FA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31A4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5EC90ED9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0F5D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30AE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5E75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8702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49FC7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273E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634B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26193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6045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06EF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CF36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1DCA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ADBA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6106D9D4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B86B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C7CF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3D39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863D4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A832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5248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87C29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FEE3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Ground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1713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22E2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0F40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E2E9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E61B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5B521E17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96F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08D9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4318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D85F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9918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19DD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2511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D104F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7685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A899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CC08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35CC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C14A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63E39764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9521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002BF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6158E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5BCF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ECAB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37B7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350E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47AC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5EBB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1C99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073F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D7BB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0C43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006E7CF6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3C06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8160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25E7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DE29A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B07C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67BB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40EB0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46A9B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First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A68B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10FD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9D4F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BFF7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45C1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6A8B3856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C943A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F4B0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DA48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E409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191E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69CF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1627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C3865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Second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C2C2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65CC9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2609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044F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295D7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067249B1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D3645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7FF03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ED90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7B6B7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92947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15560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5006B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DD9B9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Second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6414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448E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D40E6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F8AE1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F8C9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  <w:tr w:rsidR="00530643" w:rsidRPr="00530643" w14:paraId="546C6EB3" w14:textId="77777777" w:rsidTr="00530643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B8E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0740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0FEA7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Beaumont Court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5FDAC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Widnes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18161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WA8 5ER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D5488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 xml:space="preserve">Flat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0CDA2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£175.00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D8CCD" w14:textId="77777777" w:rsidR="00530643" w:rsidRPr="00530643" w:rsidRDefault="00530643" w:rsidP="00530643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Flat Second Floor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F8338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9C0CD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30/05/2025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660EC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11F84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2E65E" w14:textId="77777777" w:rsidR="00530643" w:rsidRPr="00530643" w:rsidRDefault="00530643" w:rsidP="00530643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30643">
                    <w:rPr>
                      <w:rFonts w:ascii="Aptos Narrow" w:hAnsi="Aptos Narrow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43F097D1" w14:textId="088BC0A4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E85F07" w14:textId="46DB81D1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088D53" w14:textId="77777777" w:rsidR="00733F24" w:rsidRDefault="00733F2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6E100E9B" w14:textId="46229234" w:rsidR="005013D4" w:rsidRPr="00005C85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005C8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Aims of the Local Lettings Plan</w:t>
            </w:r>
          </w:p>
          <w:p w14:paraId="03732404" w14:textId="7339620D" w:rsidR="005013D4" w:rsidRPr="00005C85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7B8D97A2" w14:textId="21062897" w:rsidR="005013D4" w:rsidRPr="00005C85" w:rsidRDefault="005013D4" w:rsidP="00916C94">
            <w:pPr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t xml:space="preserve">The purpose of this Local Letting Plan is to assist in creating a balanced and blended neighbourhood by managing the allocation and lettings of the properties </w:t>
            </w:r>
            <w:r w:rsidR="00124BA6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="00737FC7">
              <w:rPr>
                <w:rFonts w:ascii="Arial" w:hAnsi="Arial" w:cs="Arial"/>
                <w:sz w:val="22"/>
                <w:szCs w:val="22"/>
              </w:rPr>
              <w:t>Lunts</w:t>
            </w:r>
            <w:proofErr w:type="spellEnd"/>
            <w:r w:rsidR="00737FC7">
              <w:rPr>
                <w:rFonts w:ascii="Arial" w:hAnsi="Arial" w:cs="Arial"/>
                <w:sz w:val="22"/>
                <w:szCs w:val="22"/>
              </w:rPr>
              <w:t xml:space="preserve"> Heath Rise, Widnes, Cheshire </w:t>
            </w:r>
          </w:p>
          <w:p w14:paraId="1440918A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5DCED7" w14:textId="0BFC0EB4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5C85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005C85">
              <w:rPr>
                <w:rFonts w:ascii="Arial" w:hAnsi="Arial" w:cs="Arial"/>
                <w:sz w:val="22"/>
                <w:szCs w:val="22"/>
              </w:rPr>
              <w:t xml:space="preserve"> achieve and maintain a stable community consideration will be given to customers economic status, household size, age and make up</w:t>
            </w:r>
            <w:r w:rsidR="00FC4FA7">
              <w:rPr>
                <w:rFonts w:ascii="Arial" w:hAnsi="Arial" w:cs="Arial"/>
                <w:sz w:val="22"/>
                <w:szCs w:val="22"/>
              </w:rPr>
              <w:t xml:space="preserve"> as per the P</w:t>
            </w:r>
            <w:r w:rsidR="00B474F2">
              <w:rPr>
                <w:rFonts w:ascii="Arial" w:hAnsi="Arial" w:cs="Arial"/>
                <w:sz w:val="22"/>
                <w:szCs w:val="22"/>
              </w:rPr>
              <w:t xml:space="preserve">roperty </w:t>
            </w:r>
            <w:r w:rsidR="00FC4FA7">
              <w:rPr>
                <w:rFonts w:ascii="Arial" w:hAnsi="Arial" w:cs="Arial"/>
                <w:sz w:val="22"/>
                <w:szCs w:val="22"/>
              </w:rPr>
              <w:t>P</w:t>
            </w:r>
            <w:r w:rsidR="00B474F2">
              <w:rPr>
                <w:rFonts w:ascii="Arial" w:hAnsi="Arial" w:cs="Arial"/>
                <w:sz w:val="22"/>
                <w:szCs w:val="22"/>
              </w:rPr>
              <w:t xml:space="preserve">ool </w:t>
            </w:r>
            <w:r w:rsidR="00FC4FA7">
              <w:rPr>
                <w:rFonts w:ascii="Arial" w:hAnsi="Arial" w:cs="Arial"/>
                <w:sz w:val="22"/>
                <w:szCs w:val="22"/>
              </w:rPr>
              <w:t>P</w:t>
            </w:r>
            <w:r w:rsidR="00B474F2">
              <w:rPr>
                <w:rFonts w:ascii="Arial" w:hAnsi="Arial" w:cs="Arial"/>
                <w:sz w:val="22"/>
                <w:szCs w:val="22"/>
              </w:rPr>
              <w:t>lus (PPP)</w:t>
            </w:r>
            <w:r w:rsidR="00FC4F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74F2">
              <w:rPr>
                <w:rFonts w:ascii="Arial" w:hAnsi="Arial" w:cs="Arial"/>
                <w:sz w:val="22"/>
                <w:szCs w:val="22"/>
              </w:rPr>
              <w:t>policy</w:t>
            </w:r>
            <w:r w:rsidRPr="00005C85">
              <w:rPr>
                <w:rFonts w:ascii="Arial" w:hAnsi="Arial" w:cs="Arial"/>
                <w:sz w:val="22"/>
                <w:szCs w:val="22"/>
              </w:rPr>
              <w:t>. The fundamental objective being that all tenures harmonise and blend</w:t>
            </w:r>
            <w:r w:rsidR="00B474F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AD694C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2B4315" w14:textId="4C158669" w:rsidR="00B2664F" w:rsidRPr="00733F24" w:rsidRDefault="00733F24" w:rsidP="005C39D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Due to the </w:t>
            </w:r>
            <w:r w:rsidR="00C456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rent cost, council tax band,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design and size of the </w:t>
            </w:r>
            <w:r w:rsidR="00124B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properties, Halton Housing will look to fully occupy </w:t>
            </w:r>
            <w:r w:rsidR="001B17C3">
              <w:rPr>
                <w:rFonts w:ascii="Arial" w:hAnsi="Arial" w:cs="Arial"/>
                <w:bCs/>
                <w:iCs/>
                <w:sz w:val="22"/>
                <w:szCs w:val="22"/>
              </w:rPr>
              <w:t>in all cases and o</w:t>
            </w:r>
            <w:r w:rsidR="00C456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ffers </w:t>
            </w:r>
            <w:r w:rsidR="00EB7D8E">
              <w:rPr>
                <w:rFonts w:ascii="Arial" w:hAnsi="Arial" w:cs="Arial"/>
                <w:bCs/>
                <w:iCs/>
                <w:sz w:val="22"/>
                <w:szCs w:val="22"/>
              </w:rPr>
              <w:t>will be made pending the outcome of a full affordability assessment.</w:t>
            </w:r>
          </w:p>
          <w:p w14:paraId="541E08D4" w14:textId="77777777" w:rsidR="00B2664F" w:rsidRDefault="00B2664F" w:rsidP="005C39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4A2247EB" w14:textId="77777777" w:rsidR="00B2664F" w:rsidRDefault="00B2664F" w:rsidP="005C39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119F2000" w14:textId="1F458C40" w:rsidR="005013D4" w:rsidRPr="00005C85" w:rsidRDefault="005013D4" w:rsidP="005C39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005C8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Divergence from the Standard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PPP </w:t>
            </w:r>
            <w:r w:rsidRPr="00005C8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Policy </w:t>
            </w:r>
          </w:p>
          <w:p w14:paraId="11ED7EA5" w14:textId="77777777" w:rsidR="005013D4" w:rsidRPr="00005C85" w:rsidRDefault="005013D4" w:rsidP="005C39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41CC541C" w14:textId="0974CEFC" w:rsidR="00D222EE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sz w:val="22"/>
                <w:szCs w:val="22"/>
              </w:rPr>
              <w:t>Lo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ettings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05C85">
              <w:rPr>
                <w:rFonts w:ascii="Arial" w:hAnsi="Arial" w:cs="Arial"/>
                <w:sz w:val="22"/>
                <w:szCs w:val="22"/>
              </w:rPr>
              <w:t>lan will differ from our principal allocations policy (P</w:t>
            </w:r>
            <w:r>
              <w:rPr>
                <w:rFonts w:ascii="Arial" w:hAnsi="Arial" w:cs="Arial"/>
                <w:sz w:val="22"/>
                <w:szCs w:val="22"/>
              </w:rPr>
              <w:t>PP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) in that housing need will not necessarily be the primary consideration.  </w:t>
            </w:r>
          </w:p>
          <w:p w14:paraId="613551AB" w14:textId="77777777" w:rsidR="00B2664F" w:rsidRDefault="00B2664F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6798FE" w14:textId="4D8AD1DD" w:rsidR="005013D4" w:rsidRPr="00D222EE" w:rsidRDefault="00B2664F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5013D4" w:rsidRPr="00005C85">
              <w:rPr>
                <w:rFonts w:ascii="Arial" w:hAnsi="Arial" w:cs="Arial"/>
                <w:sz w:val="22"/>
                <w:szCs w:val="22"/>
              </w:rPr>
              <w:t xml:space="preserve">t has been envisaged that the area will attract a mix of young and older </w:t>
            </w:r>
            <w:r w:rsidR="00733F24">
              <w:rPr>
                <w:rFonts w:ascii="Arial" w:hAnsi="Arial" w:cs="Arial"/>
                <w:sz w:val="22"/>
                <w:szCs w:val="22"/>
              </w:rPr>
              <w:t>applicants</w:t>
            </w:r>
            <w:r w:rsidR="005013D4" w:rsidRPr="00005C85">
              <w:rPr>
                <w:rFonts w:ascii="Arial" w:hAnsi="Arial" w:cs="Arial"/>
                <w:sz w:val="22"/>
                <w:szCs w:val="22"/>
              </w:rPr>
              <w:t xml:space="preserve"> alongside</w:t>
            </w:r>
            <w:r w:rsidR="001B17C3">
              <w:rPr>
                <w:rFonts w:ascii="Arial" w:hAnsi="Arial" w:cs="Arial"/>
                <w:sz w:val="22"/>
                <w:szCs w:val="22"/>
              </w:rPr>
              <w:t xml:space="preserve"> small</w:t>
            </w:r>
            <w:r w:rsidR="005013D4" w:rsidRPr="00005C85">
              <w:rPr>
                <w:rFonts w:ascii="Arial" w:hAnsi="Arial" w:cs="Arial"/>
                <w:sz w:val="22"/>
                <w:szCs w:val="22"/>
              </w:rPr>
              <w:t xml:space="preserve"> families with differing financial </w:t>
            </w:r>
            <w:r w:rsidR="00392D95" w:rsidRPr="00005C85">
              <w:rPr>
                <w:rFonts w:ascii="Arial" w:hAnsi="Arial" w:cs="Arial"/>
                <w:sz w:val="22"/>
                <w:szCs w:val="22"/>
              </w:rPr>
              <w:t>circumstances,</w:t>
            </w:r>
            <w:r w:rsidR="005013D4" w:rsidRPr="00005C85">
              <w:rPr>
                <w:rFonts w:ascii="Arial" w:hAnsi="Arial" w:cs="Arial"/>
                <w:sz w:val="22"/>
                <w:szCs w:val="22"/>
              </w:rPr>
              <w:t xml:space="preserve"> and this should be reflected in the scheme tenure mix to provide a blended and balanced neighbourhood where people can start </w:t>
            </w:r>
            <w:r w:rsidR="00733F24" w:rsidRPr="00005C85">
              <w:rPr>
                <w:rFonts w:ascii="Arial" w:hAnsi="Arial" w:cs="Arial"/>
                <w:sz w:val="22"/>
                <w:szCs w:val="22"/>
              </w:rPr>
              <w:t>out and</w:t>
            </w:r>
            <w:r w:rsidR="005013D4" w:rsidRPr="00005C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F24">
              <w:rPr>
                <w:rFonts w:ascii="Arial" w:hAnsi="Arial" w:cs="Arial"/>
                <w:sz w:val="22"/>
                <w:szCs w:val="22"/>
              </w:rPr>
              <w:t xml:space="preserve">sustain a successful tenancy. </w:t>
            </w:r>
            <w:r w:rsidR="005013D4" w:rsidRPr="00005C85">
              <w:rPr>
                <w:rFonts w:ascii="Arial" w:hAnsi="Arial" w:cs="Arial"/>
                <w:sz w:val="22"/>
                <w:szCs w:val="22"/>
              </w:rPr>
              <w:t xml:space="preserve">  We believe that this would be the essence of an established and stable neighbourhood</w:t>
            </w:r>
            <w:r w:rsidR="001B17C3">
              <w:rPr>
                <w:rFonts w:ascii="Arial" w:hAnsi="Arial" w:cs="Arial"/>
                <w:sz w:val="22"/>
                <w:szCs w:val="22"/>
              </w:rPr>
              <w:t xml:space="preserve"> in this </w:t>
            </w:r>
            <w:proofErr w:type="gramStart"/>
            <w:r w:rsidR="001B17C3">
              <w:rPr>
                <w:rFonts w:ascii="Arial" w:hAnsi="Arial" w:cs="Arial"/>
                <w:sz w:val="22"/>
                <w:szCs w:val="22"/>
              </w:rPr>
              <w:t>particular area</w:t>
            </w:r>
            <w:proofErr w:type="gramEnd"/>
            <w:r w:rsidR="001B17C3">
              <w:rPr>
                <w:rFonts w:ascii="Arial" w:hAnsi="Arial" w:cs="Arial"/>
                <w:sz w:val="22"/>
                <w:szCs w:val="22"/>
              </w:rPr>
              <w:t xml:space="preserve"> of Halton.</w:t>
            </w:r>
            <w:r w:rsidR="005013D4" w:rsidRPr="00005C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202F24" w14:textId="77777777" w:rsidR="005013D4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09BC8ADA" w14:textId="77777777" w:rsidR="005013D4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5AB22206" w14:textId="7CBD6AF1" w:rsidR="005013D4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Demand &amp; Intelligence</w:t>
            </w:r>
          </w:p>
          <w:p w14:paraId="1577F658" w14:textId="36325A8C" w:rsidR="005013D4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5ADD2261" w14:textId="4AD06B39" w:rsidR="003E5C08" w:rsidRDefault="003E5C08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source: P</w:t>
            </w:r>
            <w:r w:rsidR="00155543">
              <w:rPr>
                <w:rFonts w:ascii="Arial" w:hAnsi="Arial" w:cs="Arial"/>
                <w:sz w:val="22"/>
                <w:szCs w:val="22"/>
              </w:rPr>
              <w:t>roperty Pool Plus – Live CBL register</w:t>
            </w:r>
            <w:r w:rsidR="00A811B4">
              <w:rPr>
                <w:rFonts w:ascii="Arial" w:hAnsi="Arial" w:cs="Arial"/>
                <w:sz w:val="22"/>
                <w:szCs w:val="22"/>
              </w:rPr>
              <w:t xml:space="preserve"> from April 2024 – March 2025</w:t>
            </w:r>
          </w:p>
          <w:p w14:paraId="7E79A266" w14:textId="77777777" w:rsidR="003E5C08" w:rsidRDefault="003E5C08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C878C3" w14:textId="0F689E80" w:rsidR="005013D4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032D">
              <w:rPr>
                <w:rFonts w:ascii="Arial" w:hAnsi="Arial" w:cs="Arial"/>
                <w:sz w:val="22"/>
                <w:szCs w:val="22"/>
              </w:rPr>
              <w:t xml:space="preserve">Research through Property Pool Plus demonstrates that there is a high level of demand for </w:t>
            </w:r>
            <w:proofErr w:type="gramStart"/>
            <w:r w:rsidR="009368B9">
              <w:rPr>
                <w:rFonts w:ascii="Arial" w:hAnsi="Arial" w:cs="Arial"/>
                <w:sz w:val="22"/>
                <w:szCs w:val="22"/>
              </w:rPr>
              <w:t xml:space="preserve">1 and 2 </w:t>
            </w:r>
            <w:r w:rsidR="00100FF2">
              <w:rPr>
                <w:rFonts w:ascii="Arial" w:hAnsi="Arial" w:cs="Arial"/>
                <w:sz w:val="22"/>
                <w:szCs w:val="22"/>
              </w:rPr>
              <w:t>bedroom</w:t>
            </w:r>
            <w:proofErr w:type="gramEnd"/>
            <w:r w:rsidRPr="0050032D">
              <w:rPr>
                <w:rFonts w:ascii="Arial" w:hAnsi="Arial" w:cs="Arial"/>
                <w:sz w:val="22"/>
                <w:szCs w:val="22"/>
              </w:rPr>
              <w:t xml:space="preserve"> accommodation</w:t>
            </w:r>
            <w:r w:rsidR="00A26215">
              <w:rPr>
                <w:rFonts w:ascii="Arial" w:hAnsi="Arial" w:cs="Arial"/>
                <w:sz w:val="22"/>
                <w:szCs w:val="22"/>
              </w:rPr>
              <w:t xml:space="preserve"> within that area</w:t>
            </w:r>
            <w:r w:rsidR="009368B9">
              <w:rPr>
                <w:rFonts w:ascii="Arial" w:hAnsi="Arial" w:cs="Arial"/>
                <w:sz w:val="22"/>
                <w:szCs w:val="22"/>
              </w:rPr>
              <w:t xml:space="preserve"> of Widnes/Halton</w:t>
            </w:r>
            <w:r w:rsidR="00A2621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F0E9BA" w14:textId="0F433BB9" w:rsidR="005013D4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938BC8" w14:textId="06490BBF" w:rsidR="00BE37EF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statistical intelligence extracted from P</w:t>
            </w:r>
            <w:r w:rsidR="00BF3BBD">
              <w:rPr>
                <w:rFonts w:ascii="Arial" w:hAnsi="Arial" w:cs="Arial"/>
                <w:sz w:val="22"/>
                <w:szCs w:val="22"/>
              </w:rPr>
              <w:t>roperty Pool Plus</w:t>
            </w:r>
            <w:r>
              <w:rPr>
                <w:rFonts w:ascii="Arial" w:hAnsi="Arial" w:cs="Arial"/>
                <w:sz w:val="22"/>
                <w:szCs w:val="22"/>
              </w:rPr>
              <w:t xml:space="preserve"> determines</w:t>
            </w:r>
            <w:r w:rsidR="00A946DC">
              <w:rPr>
                <w:rFonts w:ascii="Arial" w:hAnsi="Arial" w:cs="Arial"/>
                <w:sz w:val="22"/>
                <w:szCs w:val="22"/>
              </w:rPr>
              <w:t xml:space="preserve"> that in Halton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there are</w:t>
            </w:r>
            <w:r w:rsidR="00F140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BA6">
              <w:rPr>
                <w:rFonts w:ascii="Arial" w:hAnsi="Arial" w:cs="Arial"/>
                <w:sz w:val="22"/>
                <w:szCs w:val="22"/>
              </w:rPr>
              <w:t xml:space="preserve">total of </w:t>
            </w:r>
            <w:r w:rsidR="004A784D">
              <w:rPr>
                <w:rFonts w:ascii="Arial" w:hAnsi="Arial" w:cs="Arial"/>
                <w:sz w:val="22"/>
                <w:szCs w:val="22"/>
              </w:rPr>
              <w:t>2700</w:t>
            </w:r>
            <w:r w:rsidR="00733F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4072">
              <w:rPr>
                <w:rFonts w:ascii="Arial" w:hAnsi="Arial" w:cs="Arial"/>
                <w:sz w:val="22"/>
                <w:szCs w:val="22"/>
              </w:rPr>
              <w:t>applicants</w:t>
            </w:r>
            <w:r w:rsidR="004A784D">
              <w:rPr>
                <w:rFonts w:ascii="Arial" w:hAnsi="Arial" w:cs="Arial"/>
                <w:sz w:val="22"/>
                <w:szCs w:val="22"/>
              </w:rPr>
              <w:t xml:space="preserve"> on the housing register. </w:t>
            </w:r>
            <w:r w:rsidR="00843DF3">
              <w:rPr>
                <w:rFonts w:ascii="Arial" w:hAnsi="Arial" w:cs="Arial"/>
                <w:sz w:val="22"/>
                <w:szCs w:val="22"/>
              </w:rPr>
              <w:t>Of these 1078 are registered as employed. (39.93% of the register total)</w:t>
            </w:r>
            <w:r w:rsidR="00C622FB">
              <w:rPr>
                <w:rFonts w:ascii="Arial" w:hAnsi="Arial" w:cs="Arial"/>
                <w:sz w:val="22"/>
                <w:szCs w:val="22"/>
              </w:rPr>
              <w:t xml:space="preserve"> (Fig1)</w:t>
            </w:r>
          </w:p>
          <w:p w14:paraId="66413DD3" w14:textId="77777777" w:rsidR="00843DF3" w:rsidRDefault="00843DF3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6CFB2" w14:textId="5D265FB0" w:rsidR="005013D4" w:rsidRDefault="00197A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are 11 applicants </w:t>
            </w:r>
            <w:r w:rsidR="00D607C7">
              <w:rPr>
                <w:rFonts w:ascii="Arial" w:hAnsi="Arial" w:cs="Arial"/>
                <w:sz w:val="22"/>
                <w:szCs w:val="22"/>
              </w:rPr>
              <w:t xml:space="preserve">who are employed, </w:t>
            </w:r>
            <w:r w:rsidR="00DA6D32">
              <w:rPr>
                <w:rFonts w:ascii="Arial" w:hAnsi="Arial" w:cs="Arial"/>
                <w:sz w:val="22"/>
                <w:szCs w:val="22"/>
              </w:rPr>
              <w:t xml:space="preserve">with no preference need (Band C) The average waiting time </w:t>
            </w:r>
            <w:r w:rsidR="00F158EB">
              <w:rPr>
                <w:rFonts w:ascii="Arial" w:hAnsi="Arial" w:cs="Arial"/>
                <w:sz w:val="22"/>
                <w:szCs w:val="22"/>
              </w:rPr>
              <w:t xml:space="preserve">already accrued on the register </w:t>
            </w:r>
            <w:r w:rsidR="00DA6D32">
              <w:rPr>
                <w:rFonts w:ascii="Arial" w:hAnsi="Arial" w:cs="Arial"/>
                <w:sz w:val="22"/>
                <w:szCs w:val="22"/>
              </w:rPr>
              <w:t xml:space="preserve">for this cohort of applicants is </w:t>
            </w:r>
            <w:r w:rsidR="00F158EB">
              <w:rPr>
                <w:rFonts w:ascii="Arial" w:hAnsi="Arial" w:cs="Arial"/>
                <w:sz w:val="22"/>
                <w:szCs w:val="22"/>
              </w:rPr>
              <w:t>62 weeks.</w:t>
            </w:r>
            <w:r w:rsidR="00C622FB">
              <w:rPr>
                <w:rFonts w:ascii="Arial" w:hAnsi="Arial" w:cs="Arial"/>
                <w:sz w:val="22"/>
                <w:szCs w:val="22"/>
              </w:rPr>
              <w:t xml:space="preserve"> (fig 2)</w:t>
            </w:r>
          </w:p>
          <w:p w14:paraId="07A73382" w14:textId="77777777" w:rsidR="00814086" w:rsidRDefault="00814086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706966" w14:textId="2F8A1B35" w:rsidR="0010779C" w:rsidRDefault="00132177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average waiting time for applicants </w:t>
            </w:r>
            <w:r w:rsidR="005C6277">
              <w:rPr>
                <w:rFonts w:ascii="Arial" w:hAnsi="Arial" w:cs="Arial"/>
                <w:sz w:val="22"/>
                <w:szCs w:val="22"/>
              </w:rPr>
              <w:t xml:space="preserve">in all bands </w:t>
            </w:r>
            <w:r>
              <w:rPr>
                <w:rFonts w:ascii="Arial" w:hAnsi="Arial" w:cs="Arial"/>
                <w:sz w:val="22"/>
                <w:szCs w:val="22"/>
              </w:rPr>
              <w:t>who have expressed an interest in the Farnworth</w:t>
            </w:r>
            <w:r w:rsidR="00DC6676">
              <w:rPr>
                <w:rFonts w:ascii="Arial" w:hAnsi="Arial" w:cs="Arial"/>
                <w:sz w:val="22"/>
                <w:szCs w:val="22"/>
              </w:rPr>
              <w:t>, Fairfield and Halton View areas of Widnes</w:t>
            </w:r>
            <w:r w:rsidR="00335FA5">
              <w:rPr>
                <w:rFonts w:ascii="Arial" w:hAnsi="Arial" w:cs="Arial"/>
                <w:sz w:val="22"/>
                <w:szCs w:val="22"/>
              </w:rPr>
              <w:t xml:space="preserve"> is 64 weeks across all </w:t>
            </w:r>
            <w:r w:rsidR="00452AD8">
              <w:rPr>
                <w:rFonts w:ascii="Arial" w:hAnsi="Arial" w:cs="Arial"/>
                <w:sz w:val="22"/>
                <w:szCs w:val="22"/>
              </w:rPr>
              <w:t xml:space="preserve">bands (A, B and C).  This high waiting time is largely because of the high demand and low turnaround for this </w:t>
            </w:r>
            <w:proofErr w:type="gramStart"/>
            <w:r w:rsidR="00452AD8">
              <w:rPr>
                <w:rFonts w:ascii="Arial" w:hAnsi="Arial" w:cs="Arial"/>
                <w:sz w:val="22"/>
                <w:szCs w:val="22"/>
              </w:rPr>
              <w:t>particular area</w:t>
            </w:r>
            <w:proofErr w:type="gramEnd"/>
            <w:r w:rsidR="00452AD8">
              <w:rPr>
                <w:rFonts w:ascii="Arial" w:hAnsi="Arial" w:cs="Arial"/>
                <w:sz w:val="22"/>
                <w:szCs w:val="22"/>
              </w:rPr>
              <w:t xml:space="preserve"> of Widnes</w:t>
            </w:r>
            <w:r w:rsidR="00C622FB">
              <w:rPr>
                <w:rFonts w:ascii="Arial" w:hAnsi="Arial" w:cs="Arial"/>
                <w:sz w:val="22"/>
                <w:szCs w:val="22"/>
              </w:rPr>
              <w:t>. (fig 3)</w:t>
            </w:r>
          </w:p>
          <w:p w14:paraId="4859A968" w14:textId="2272A1CE" w:rsidR="005013D4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765E1" w14:textId="1D492D88" w:rsidR="00852D7E" w:rsidRDefault="00852D7E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(fig 1)</w:t>
            </w:r>
            <w:r w:rsidR="006427CA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tbl>
            <w:tblPr>
              <w:tblW w:w="13360" w:type="dxa"/>
              <w:tblLook w:val="04A0" w:firstRow="1" w:lastRow="0" w:firstColumn="1" w:lastColumn="0" w:noHBand="0" w:noVBand="1"/>
            </w:tblPr>
            <w:tblGrid>
              <w:gridCol w:w="2700"/>
              <w:gridCol w:w="1640"/>
              <w:gridCol w:w="1820"/>
              <w:gridCol w:w="4340"/>
              <w:gridCol w:w="2860"/>
            </w:tblGrid>
            <w:tr w:rsidR="0002486B" w:rsidRPr="0002486B" w14:paraId="02FAD997" w14:textId="77777777" w:rsidTr="0002486B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0B2B332D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Employment Verified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1356F109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Column Labels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096995C7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32A3ACEA" w14:textId="77777777" w:rsidR="0002486B" w:rsidRPr="0002486B" w:rsidRDefault="0002486B" w:rsidP="0002486B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5AA2" w14:textId="77777777" w:rsidR="0002486B" w:rsidRPr="0002486B" w:rsidRDefault="0002486B" w:rsidP="0002486B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</w:tr>
            <w:tr w:rsidR="0002486B" w:rsidRPr="0002486B" w14:paraId="737567BB" w14:textId="77777777" w:rsidTr="0002486B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44B3E1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6C7A1612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Row Labels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44B3E1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22ADB4CB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Non-Transfer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44B3E1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7CFD8AB6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Transfer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44B3E1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25BF6673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Grand Total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A06D8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486B" w:rsidRPr="0002486B" w14:paraId="1CECA078" w14:textId="77777777" w:rsidTr="0002486B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953E9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50FE6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sz w:val="22"/>
                      <w:szCs w:val="22"/>
                    </w:rPr>
                    <w:t>953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FC6F2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sz w:val="22"/>
                      <w:szCs w:val="22"/>
                    </w:rPr>
                    <w:t>669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FE3F7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sz w:val="22"/>
                      <w:szCs w:val="22"/>
                    </w:rPr>
                    <w:t>1622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96175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60.07%</w:t>
                  </w:r>
                </w:p>
              </w:tc>
            </w:tr>
            <w:tr w:rsidR="0002486B" w:rsidRPr="0002486B" w14:paraId="5F555A28" w14:textId="77777777" w:rsidTr="0002486B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CD4E2B4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E09D554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sz w:val="22"/>
                      <w:szCs w:val="22"/>
                    </w:rPr>
                    <w:t>773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A49CB5C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sz w:val="22"/>
                      <w:szCs w:val="22"/>
                    </w:rPr>
                    <w:t>305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C0B6C14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sz w:val="22"/>
                      <w:szCs w:val="22"/>
                    </w:rPr>
                    <w:t>1078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D3E0512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39.93%</w:t>
                  </w:r>
                </w:p>
              </w:tc>
            </w:tr>
            <w:tr w:rsidR="0002486B" w:rsidRPr="0002486B" w14:paraId="79F0B013" w14:textId="77777777" w:rsidTr="0002486B">
              <w:trPr>
                <w:trHeight w:val="300"/>
              </w:trPr>
              <w:tc>
                <w:tcPr>
                  <w:tcW w:w="2700" w:type="dxa"/>
                  <w:tcBorders>
                    <w:top w:val="single" w:sz="4" w:space="0" w:color="44B3E1"/>
                    <w:left w:val="nil"/>
                    <w:bottom w:val="nil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68708978" w14:textId="77777777" w:rsidR="0002486B" w:rsidRPr="0002486B" w:rsidRDefault="0002486B" w:rsidP="0002486B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Grand Total</w:t>
                  </w:r>
                </w:p>
              </w:tc>
              <w:tc>
                <w:tcPr>
                  <w:tcW w:w="1640" w:type="dxa"/>
                  <w:tcBorders>
                    <w:top w:val="single" w:sz="4" w:space="0" w:color="44B3E1"/>
                    <w:left w:val="nil"/>
                    <w:bottom w:val="nil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4056B1BC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1726</w:t>
                  </w:r>
                </w:p>
              </w:tc>
              <w:tc>
                <w:tcPr>
                  <w:tcW w:w="1820" w:type="dxa"/>
                  <w:tcBorders>
                    <w:top w:val="single" w:sz="4" w:space="0" w:color="44B3E1"/>
                    <w:left w:val="nil"/>
                    <w:bottom w:val="nil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58ED5DC6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974</w:t>
                  </w:r>
                </w:p>
              </w:tc>
              <w:tc>
                <w:tcPr>
                  <w:tcW w:w="4340" w:type="dxa"/>
                  <w:tcBorders>
                    <w:top w:val="single" w:sz="4" w:space="0" w:color="44B3E1"/>
                    <w:left w:val="nil"/>
                    <w:bottom w:val="nil"/>
                    <w:right w:val="nil"/>
                  </w:tcBorders>
                  <w:shd w:val="clear" w:color="C0E6F5" w:fill="C0E6F5"/>
                  <w:noWrap/>
                  <w:vAlign w:val="bottom"/>
                  <w:hideMark/>
                </w:tcPr>
                <w:p w14:paraId="25336506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02486B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2700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766D4" w14:textId="77777777" w:rsidR="0002486B" w:rsidRPr="0002486B" w:rsidRDefault="0002486B" w:rsidP="0002486B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FBDEF86" w14:textId="77777777" w:rsidR="00852D7E" w:rsidRDefault="00852D7E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F6C2A" w14:textId="1B9D6628" w:rsidR="00E90FC1" w:rsidRDefault="00A54B9E" w:rsidP="00E90F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90FC1">
              <w:rPr>
                <w:rFonts w:ascii="Arial" w:hAnsi="Arial" w:cs="Arial"/>
                <w:sz w:val="22"/>
                <w:szCs w:val="22"/>
              </w:rPr>
              <w:t>Fig</w:t>
            </w:r>
            <w:r w:rsidR="001B0C3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E90FC1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57D5448C" w14:textId="77777777" w:rsidR="00E90FC1" w:rsidRDefault="00E90FC1" w:rsidP="00E90F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6650" w:type="dxa"/>
              <w:tblLook w:val="04A0" w:firstRow="1" w:lastRow="0" w:firstColumn="1" w:lastColumn="0" w:noHBand="0" w:noVBand="1"/>
            </w:tblPr>
            <w:tblGrid>
              <w:gridCol w:w="963"/>
              <w:gridCol w:w="3040"/>
              <w:gridCol w:w="1566"/>
              <w:gridCol w:w="3673"/>
              <w:gridCol w:w="2453"/>
              <w:gridCol w:w="1131"/>
              <w:gridCol w:w="1376"/>
            </w:tblGrid>
            <w:tr w:rsidR="00CF4BFD" w:rsidRPr="00CF4BFD" w14:paraId="7505C2C8" w14:textId="77777777" w:rsidTr="00CF4BFD">
              <w:trPr>
                <w:trHeight w:val="300"/>
              </w:trPr>
              <w:tc>
                <w:tcPr>
                  <w:tcW w:w="6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82945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Band C </w:t>
                  </w:r>
                  <w:proofErr w:type="spellStart"/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applicanrs</w:t>
                  </w:r>
                  <w:proofErr w:type="spellEnd"/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verified employment housed.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41C59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06BD4" w14:textId="77777777" w:rsidR="00CF4BFD" w:rsidRPr="00CF4BFD" w:rsidRDefault="00CF4BFD" w:rsidP="00CF4BF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59AA0" w14:textId="77777777" w:rsidR="00CF4BFD" w:rsidRPr="00CF4BFD" w:rsidRDefault="00CF4BFD" w:rsidP="00CF4BF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9DAA6" w14:textId="77777777" w:rsidR="00CF4BFD" w:rsidRPr="00CF4BFD" w:rsidRDefault="00CF4BFD" w:rsidP="00CF4BF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</w:tr>
            <w:tr w:rsidR="00CF4BFD" w:rsidRPr="00CF4BFD" w14:paraId="6472D9FC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90E6080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Halton band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798FED1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Preference given to those in employment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3747C8F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Employment verified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B2B41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Void to date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72405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Calculated Effective Date Halton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FCDB1A1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waiting in days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12430DA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waiting in weeks </w:t>
                  </w:r>
                </w:p>
              </w:tc>
            </w:tr>
            <w:tr w:rsidR="00CF4BFD" w:rsidRPr="00CF4BFD" w14:paraId="712DF559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5217AA2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06A4EE1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960BFCA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A8F1B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18/03/2024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10022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17/10/2021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F05F9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883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4F167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126 </w:t>
                  </w:r>
                </w:p>
              </w:tc>
            </w:tr>
            <w:tr w:rsidR="00CF4BFD" w:rsidRPr="00CF4BFD" w14:paraId="60A682C5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B2A5E22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369E922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121B2B1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0F529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18/03/2024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9FCF7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17/02/2023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A45C1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395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2D587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56 </w:t>
                  </w:r>
                </w:p>
              </w:tc>
            </w:tr>
            <w:tr w:rsidR="00CF4BFD" w:rsidRPr="00CF4BFD" w14:paraId="3E0A2F85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EF39A9A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lastRenderedPageBreak/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27EFA63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C5865EF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B3D9E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22/01/2024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AE4B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21/10/2021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62932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823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7349D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118 </w:t>
                  </w:r>
                </w:p>
              </w:tc>
            </w:tr>
            <w:tr w:rsidR="00CF4BFD" w:rsidRPr="00CF4BFD" w14:paraId="0F1140EC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7CDDBE8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F7A1DEA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ADA4A30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CE569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08/04/2024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9BC0B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08/08/2023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FD619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570B2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35 </w:t>
                  </w:r>
                </w:p>
              </w:tc>
            </w:tr>
            <w:tr w:rsidR="00CF4BFD" w:rsidRPr="00CF4BFD" w14:paraId="40C580D2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3F45290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F1013F5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6DAA04E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4A562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25/03/2024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95A4D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15/03/2024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9EA35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AA981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  1 </w:t>
                  </w:r>
                </w:p>
              </w:tc>
            </w:tr>
            <w:tr w:rsidR="00CF4BFD" w:rsidRPr="00CF4BFD" w14:paraId="183C2F95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3EBE104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B245BFA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CE953AB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BBCC3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19/03/2024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53F35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22/06/2023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6C133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271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E9F90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39 </w:t>
                  </w:r>
                </w:p>
              </w:tc>
            </w:tr>
            <w:tr w:rsidR="00CF4BFD" w:rsidRPr="00CF4BFD" w14:paraId="33952617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7FA198E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0B33FCB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7A3151A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D75C9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12/02/2024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C9D13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24/03/2022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2C1E2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690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EF18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99 </w:t>
                  </w:r>
                </w:p>
              </w:tc>
            </w:tr>
            <w:tr w:rsidR="00CF4BFD" w:rsidRPr="00CF4BFD" w14:paraId="21562AEB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BE306EF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F8E0312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618BA4F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02A56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25/03/2024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50393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05/05/2023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7128B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325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F26F4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46 </w:t>
                  </w:r>
                </w:p>
              </w:tc>
            </w:tr>
            <w:tr w:rsidR="00CF4BFD" w:rsidRPr="00CF4BFD" w14:paraId="65E5BE86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1B94FC4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D35D63D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568B94E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9B955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21/10/2024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7BD1A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24/09/2021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E9CBD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1,123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FAFBE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160 </w:t>
                  </w:r>
                </w:p>
              </w:tc>
            </w:tr>
            <w:tr w:rsidR="00CF4BFD" w:rsidRPr="00CF4BFD" w14:paraId="3A7D28F5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9CB04DB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C8607CC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CE5E676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73667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22/01/2024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ED8DE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13/12/2021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2B97C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770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26EAF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110 </w:t>
                  </w:r>
                </w:p>
              </w:tc>
            </w:tr>
            <w:tr w:rsidR="00CF4BFD" w:rsidRPr="00CF4BFD" w14:paraId="740B8EC9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E9922BB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3D65713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0D7202F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A9253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25/03/2024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C5F89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31/07/2023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9B507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2B877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34 </w:t>
                  </w:r>
                </w:p>
              </w:tc>
            </w:tr>
            <w:tr w:rsidR="00CF4BFD" w:rsidRPr="00CF4BFD" w14:paraId="5E003659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A71A1E3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45C7ED1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B7A13C9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5C33D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15/07/2024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FBDFF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19/04/2024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8BA60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2CD70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12 </w:t>
                  </w:r>
                </w:p>
              </w:tc>
            </w:tr>
            <w:tr w:rsidR="00CF4BFD" w:rsidRPr="00CF4BFD" w14:paraId="202E581A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931ED6A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B6DE9BB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2AC65D3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B4704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01/07/2024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0257E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16/05/2024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B1FB9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CEAF3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  7 </w:t>
                  </w:r>
                </w:p>
              </w:tc>
            </w:tr>
            <w:tr w:rsidR="00CF4BFD" w:rsidRPr="00CF4BFD" w14:paraId="5AE349B1" w14:textId="77777777" w:rsidTr="00CF4BFD">
              <w:trPr>
                <w:trHeight w:val="300"/>
              </w:trPr>
              <w:tc>
                <w:tcPr>
                  <w:tcW w:w="1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CF69F9C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C55E610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667A4BD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7D7F3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02/09/2024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477B1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05/04/2024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0A926" w14:textId="77777777" w:rsidR="00CF4BFD" w:rsidRPr="00CF4BFD" w:rsidRDefault="00CF4BFD" w:rsidP="00CF4BFD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60D90" w14:textId="77777777" w:rsidR="00CF4BFD" w:rsidRPr="00CF4BFD" w:rsidRDefault="00CF4BFD" w:rsidP="00CF4BFD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CF4BFD">
                    <w:rPr>
                      <w:rFonts w:ascii="Aptos Narrow" w:hAnsi="Aptos Narrow"/>
                      <w:sz w:val="22"/>
                      <w:szCs w:val="22"/>
                    </w:rPr>
                    <w:t xml:space="preserve">                            21 </w:t>
                  </w:r>
                </w:p>
              </w:tc>
            </w:tr>
          </w:tbl>
          <w:p w14:paraId="718DF7F3" w14:textId="77777777" w:rsidR="00CF4BFD" w:rsidRDefault="00CF4BFD" w:rsidP="00E90F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AB285" w14:textId="77777777" w:rsidR="00E90FC1" w:rsidRDefault="00E90FC1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11BA41" w14:textId="6C50EEC1" w:rsidR="005013D4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48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003F5">
              <w:rPr>
                <w:rFonts w:ascii="Arial" w:hAnsi="Arial" w:cs="Arial"/>
                <w:sz w:val="22"/>
                <w:szCs w:val="22"/>
              </w:rPr>
              <w:t>(</w:t>
            </w:r>
            <w:r w:rsidR="00F05704">
              <w:rPr>
                <w:rFonts w:ascii="Arial" w:hAnsi="Arial" w:cs="Arial"/>
                <w:sz w:val="22"/>
                <w:szCs w:val="22"/>
              </w:rPr>
              <w:t>Fig</w:t>
            </w:r>
            <w:r w:rsidR="00B467F3">
              <w:rPr>
                <w:rFonts w:ascii="Arial" w:hAnsi="Arial" w:cs="Arial"/>
                <w:sz w:val="22"/>
                <w:szCs w:val="22"/>
              </w:rPr>
              <w:t>3</w:t>
            </w:r>
            <w:r w:rsidR="00B003F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2D5CFF" w14:textId="0064D43E" w:rsidR="00E3489F" w:rsidRDefault="00E3489F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tbl>
            <w:tblPr>
              <w:tblW w:w="10500" w:type="dxa"/>
              <w:tblLook w:val="04A0" w:firstRow="1" w:lastRow="0" w:firstColumn="1" w:lastColumn="0" w:noHBand="0" w:noVBand="1"/>
            </w:tblPr>
            <w:tblGrid>
              <w:gridCol w:w="4099"/>
              <w:gridCol w:w="600"/>
              <w:gridCol w:w="1820"/>
              <w:gridCol w:w="4340"/>
            </w:tblGrid>
            <w:tr w:rsidR="00E149A6" w:rsidRPr="00E149A6" w14:paraId="472A8EFF" w14:textId="77777777" w:rsidTr="00E149A6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C647C01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lastRenderedPageBreak/>
                    <w:t xml:space="preserve">Average waiting time by band for areas Farnworth, Fairfield and Halton View (surrounding areas on </w:t>
                  </w:r>
                  <w:proofErr w:type="spellStart"/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Lunts</w:t>
                  </w:r>
                  <w:proofErr w:type="spellEnd"/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 xml:space="preserve"> Heath)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61471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B2A55" w14:textId="77777777" w:rsidR="00E149A6" w:rsidRPr="00E149A6" w:rsidRDefault="00E149A6" w:rsidP="00E149A6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405AD" w14:textId="77777777" w:rsidR="00E149A6" w:rsidRPr="00E149A6" w:rsidRDefault="00E149A6" w:rsidP="00E149A6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</w:tr>
            <w:tr w:rsidR="00E149A6" w:rsidRPr="00E149A6" w14:paraId="027951CD" w14:textId="77777777" w:rsidTr="00E149A6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C9B9C" w14:textId="77777777" w:rsidR="00E149A6" w:rsidRPr="00E149A6" w:rsidRDefault="00E149A6" w:rsidP="00E149A6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A9ABE" w14:textId="77777777" w:rsidR="00E149A6" w:rsidRPr="00E149A6" w:rsidRDefault="00E149A6" w:rsidP="00E149A6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F5A84" w14:textId="77777777" w:rsidR="00E149A6" w:rsidRPr="00E149A6" w:rsidRDefault="00E149A6" w:rsidP="00E149A6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05E95" w14:textId="77777777" w:rsidR="00E149A6" w:rsidRPr="00E149A6" w:rsidRDefault="00E149A6" w:rsidP="00E149A6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</w:tr>
            <w:tr w:rsidR="00E149A6" w:rsidRPr="00E149A6" w14:paraId="4FDF4927" w14:textId="77777777" w:rsidTr="00E149A6">
              <w:trPr>
                <w:trHeight w:val="300"/>
              </w:trPr>
              <w:tc>
                <w:tcPr>
                  <w:tcW w:w="409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02B93" w:fill="A02B93"/>
                  <w:noWrap/>
                  <w:vAlign w:val="bottom"/>
                  <w:hideMark/>
                </w:tcPr>
                <w:p w14:paraId="0343C685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Band</w:t>
                  </w:r>
                </w:p>
              </w:tc>
              <w:tc>
                <w:tcPr>
                  <w:tcW w:w="2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02B93" w:fill="A02B93"/>
                  <w:noWrap/>
                  <w:vAlign w:val="bottom"/>
                  <w:hideMark/>
                </w:tcPr>
                <w:p w14:paraId="5A2393C4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No of Lets</w:t>
                  </w:r>
                </w:p>
              </w:tc>
              <w:tc>
                <w:tcPr>
                  <w:tcW w:w="18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02B93" w:fill="A02B93"/>
                  <w:noWrap/>
                  <w:vAlign w:val="bottom"/>
                  <w:hideMark/>
                </w:tcPr>
                <w:p w14:paraId="21E8A090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waiting in weeks</w:t>
                  </w:r>
                </w:p>
              </w:tc>
              <w:tc>
                <w:tcPr>
                  <w:tcW w:w="43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02B93" w:fill="A02B93"/>
                  <w:noWrap/>
                  <w:vAlign w:val="bottom"/>
                  <w:hideMark/>
                </w:tcPr>
                <w:p w14:paraId="746488C1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average waiting time for those in employment</w:t>
                  </w:r>
                </w:p>
              </w:tc>
            </w:tr>
            <w:tr w:rsidR="00E149A6" w:rsidRPr="00E149A6" w14:paraId="1AD33DAD" w14:textId="77777777" w:rsidTr="00E149A6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44062C84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Band A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3BE6AB81" w14:textId="77777777" w:rsidR="00E149A6" w:rsidRPr="00E149A6" w:rsidRDefault="00E149A6" w:rsidP="00E149A6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1B4E4EC1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41 weeks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26300241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10 weeks</w:t>
                  </w:r>
                </w:p>
              </w:tc>
            </w:tr>
            <w:tr w:rsidR="00E149A6" w:rsidRPr="00E149A6" w14:paraId="0A328E19" w14:textId="77777777" w:rsidTr="00E149A6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1C2F5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Band B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0F1D1" w14:textId="77777777" w:rsidR="00E149A6" w:rsidRPr="00E149A6" w:rsidRDefault="00E149A6" w:rsidP="00E149A6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9BD56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51 weeks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160FC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109 weeks</w:t>
                  </w:r>
                </w:p>
              </w:tc>
            </w:tr>
            <w:tr w:rsidR="00E149A6" w:rsidRPr="00E149A6" w14:paraId="5CCEB488" w14:textId="77777777" w:rsidTr="00E149A6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508213F2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Band C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294413F7" w14:textId="77777777" w:rsidR="00E149A6" w:rsidRPr="00E149A6" w:rsidRDefault="00E149A6" w:rsidP="00E149A6">
                  <w:pPr>
                    <w:spacing w:after="0" w:line="240" w:lineRule="auto"/>
                    <w:jc w:val="right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33BEB788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100 weeks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3693BD37" w14:textId="77777777" w:rsidR="00E149A6" w:rsidRPr="00E149A6" w:rsidRDefault="00E149A6" w:rsidP="00E149A6">
                  <w:pPr>
                    <w:spacing w:after="0" w:line="240" w:lineRule="auto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 xml:space="preserve">no </w:t>
                  </w:r>
                  <w:proofErr w:type="gramStart"/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>lets</w:t>
                  </w:r>
                  <w:proofErr w:type="gramEnd"/>
                  <w:r w:rsidRPr="00E149A6">
                    <w:rPr>
                      <w:rFonts w:ascii="Aptos Narrow" w:hAnsi="Aptos Narrow"/>
                      <w:sz w:val="22"/>
                      <w:szCs w:val="22"/>
                    </w:rPr>
                    <w:t xml:space="preserve"> to employed band C</w:t>
                  </w:r>
                </w:p>
              </w:tc>
            </w:tr>
          </w:tbl>
          <w:p w14:paraId="3392D955" w14:textId="77777777" w:rsidR="00CF4BFD" w:rsidRDefault="00CF4BFD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5E94CEF8" w14:textId="77777777" w:rsidR="00E3489F" w:rsidRDefault="00E3489F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3EB5BE13" w14:textId="77777777" w:rsidR="00E3489F" w:rsidRDefault="00E3489F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4C60FBA4" w14:textId="0DD4FB34" w:rsidR="005013D4" w:rsidRPr="00005C85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005C8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Criteria &amp; Selection Process</w:t>
            </w:r>
          </w:p>
          <w:p w14:paraId="668059CD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CCFE5" w14:textId="40F33E9B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t xml:space="preserve">The structure of the Property Pool Plus Banding system (A to </w:t>
            </w:r>
            <w:r w:rsidR="005E194F">
              <w:rPr>
                <w:rFonts w:ascii="Arial" w:hAnsi="Arial" w:cs="Arial"/>
                <w:sz w:val="22"/>
                <w:szCs w:val="22"/>
              </w:rPr>
              <w:t>C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) results in customers (who are </w:t>
            </w:r>
            <w:r w:rsidR="00F53464">
              <w:rPr>
                <w:rFonts w:ascii="Arial" w:hAnsi="Arial" w:cs="Arial"/>
                <w:sz w:val="22"/>
                <w:szCs w:val="22"/>
              </w:rPr>
              <w:t>in employment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) having low priority need and therefore are unlikely to obtain an offer within this area. However, within </w:t>
            </w:r>
            <w:r w:rsidR="008E04CC">
              <w:rPr>
                <w:rFonts w:ascii="Arial" w:hAnsi="Arial" w:cs="Arial"/>
                <w:sz w:val="22"/>
                <w:szCs w:val="22"/>
              </w:rPr>
              <w:t xml:space="preserve">section 4.27 of 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the “Allocations Code of Guidance” </w:t>
            </w:r>
            <w:r w:rsidR="00D978AE">
              <w:rPr>
                <w:rFonts w:ascii="Arial" w:hAnsi="Arial" w:cs="Arial"/>
                <w:sz w:val="22"/>
                <w:szCs w:val="22"/>
              </w:rPr>
              <w:t>(</w:t>
            </w:r>
            <w:hyperlink r:id="rId9" w:history="1">
              <w:r w:rsidR="00F11EA3">
                <w:rPr>
                  <w:rStyle w:val="Hyperlink"/>
                </w:rPr>
                <w:t>Allocation of accommodation: guidance for local housing authorities in England (publishing.service.gov.uk)</w:t>
              </w:r>
            </w:hyperlink>
            <w:r w:rsidR="00F11EA3">
              <w:t xml:space="preserve"> </w:t>
            </w:r>
            <w:r w:rsidRPr="00005C85">
              <w:rPr>
                <w:rFonts w:ascii="Arial" w:hAnsi="Arial" w:cs="Arial"/>
                <w:sz w:val="22"/>
                <w:szCs w:val="22"/>
              </w:rPr>
              <w:t>more flexibility is determined to “</w:t>
            </w:r>
            <w:r w:rsidR="00F11EA3">
              <w:rPr>
                <w:rFonts w:ascii="Arial" w:hAnsi="Arial" w:cs="Arial"/>
                <w:sz w:val="22"/>
                <w:szCs w:val="22"/>
              </w:rPr>
              <w:t>give priority to working households</w:t>
            </w:r>
            <w:r w:rsidR="00C56E62">
              <w:rPr>
                <w:rFonts w:ascii="Arial" w:hAnsi="Arial" w:cs="Arial"/>
                <w:sz w:val="22"/>
                <w:szCs w:val="22"/>
              </w:rPr>
              <w:t xml:space="preserve">, who wouldn’t normally </w:t>
            </w:r>
            <w:r w:rsidR="00F033C0">
              <w:rPr>
                <w:rFonts w:ascii="Arial" w:hAnsi="Arial" w:cs="Arial"/>
                <w:sz w:val="22"/>
                <w:szCs w:val="22"/>
              </w:rPr>
              <w:t>be in</w:t>
            </w:r>
            <w:r w:rsidR="00C56E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33C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56E62">
              <w:rPr>
                <w:rFonts w:ascii="Arial" w:hAnsi="Arial" w:cs="Arial"/>
                <w:sz w:val="22"/>
                <w:szCs w:val="22"/>
              </w:rPr>
              <w:t>reasonable preference</w:t>
            </w:r>
            <w:r w:rsidR="00F033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841">
              <w:rPr>
                <w:rFonts w:ascii="Arial" w:hAnsi="Arial" w:cs="Arial"/>
                <w:sz w:val="22"/>
                <w:szCs w:val="22"/>
              </w:rPr>
              <w:t>categories</w:t>
            </w:r>
            <w:r w:rsidR="00C56E62">
              <w:rPr>
                <w:rFonts w:ascii="Arial" w:hAnsi="Arial" w:cs="Arial"/>
                <w:sz w:val="22"/>
                <w:szCs w:val="22"/>
              </w:rPr>
              <w:t xml:space="preserve">’ </w:t>
            </w:r>
          </w:p>
          <w:p w14:paraId="78D048D3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3C2702" w14:textId="14153121" w:rsidR="00C568E6" w:rsidRPr="00304B44" w:rsidRDefault="005013D4" w:rsidP="0098602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Halton Housing therefore proposes to introduce a quota of </w:t>
            </w:r>
            <w:r w:rsidR="00ED6994" w:rsidRPr="00304B44">
              <w:rPr>
                <w:rFonts w:ascii="Arial" w:hAnsi="Arial" w:cs="Arial"/>
                <w:color w:val="auto"/>
                <w:sz w:val="22"/>
                <w:szCs w:val="22"/>
              </w:rPr>
              <w:t>50</w:t>
            </w:r>
            <w:r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% </w:t>
            </w:r>
            <w:r w:rsidR="00124BA6" w:rsidRPr="00304B44">
              <w:rPr>
                <w:rFonts w:ascii="Arial" w:hAnsi="Arial" w:cs="Arial"/>
                <w:color w:val="auto"/>
                <w:sz w:val="22"/>
                <w:szCs w:val="22"/>
              </w:rPr>
              <w:t>of those</w:t>
            </w:r>
            <w:r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applicants</w:t>
            </w:r>
            <w:r w:rsidR="003645C0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in Bands A, B and C</w:t>
            </w:r>
            <w:r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who are </w:t>
            </w:r>
            <w:r w:rsidR="00124BA6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in </w:t>
            </w:r>
            <w:r w:rsidR="00A06C8C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full time </w:t>
            </w:r>
            <w:r w:rsidR="00124BA6" w:rsidRPr="00304B44">
              <w:rPr>
                <w:rFonts w:ascii="Arial" w:hAnsi="Arial" w:cs="Arial"/>
                <w:color w:val="auto"/>
                <w:sz w:val="22"/>
                <w:szCs w:val="22"/>
              </w:rPr>
              <w:t>employment</w:t>
            </w:r>
            <w:r w:rsidR="0001055D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to ensure a mix of customers is achieved within this development which </w:t>
            </w:r>
            <w:r w:rsidR="0007287E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will </w:t>
            </w:r>
            <w:r w:rsidR="002A7B12" w:rsidRPr="00304B44">
              <w:rPr>
                <w:rFonts w:ascii="Arial" w:hAnsi="Arial" w:cs="Arial"/>
                <w:color w:val="auto"/>
                <w:sz w:val="22"/>
                <w:szCs w:val="22"/>
              </w:rPr>
              <w:t>therefore</w:t>
            </w:r>
            <w:r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form a balanced community</w:t>
            </w:r>
            <w:r w:rsidR="00A06C8C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and financially sustainable tenancies. </w:t>
            </w:r>
          </w:p>
          <w:p w14:paraId="01F8ECE3" w14:textId="77777777" w:rsidR="007A60F3" w:rsidRPr="00304B44" w:rsidRDefault="007A60F3" w:rsidP="0098602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2A46358" w14:textId="7449FE32" w:rsidR="007A60F3" w:rsidRPr="00304B44" w:rsidRDefault="007A60F3" w:rsidP="0098602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4B44">
              <w:rPr>
                <w:rFonts w:ascii="Arial" w:hAnsi="Arial" w:cs="Arial"/>
                <w:color w:val="auto"/>
                <w:sz w:val="22"/>
                <w:szCs w:val="22"/>
              </w:rPr>
              <w:t>It is worth noting that the council tax bands for these properties</w:t>
            </w:r>
            <w:r w:rsidR="00967DDF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9366F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at </w:t>
            </w:r>
            <w:proofErr w:type="spellStart"/>
            <w:r w:rsidR="0049366F" w:rsidRPr="00304B44">
              <w:rPr>
                <w:rFonts w:ascii="Arial" w:hAnsi="Arial" w:cs="Arial"/>
                <w:color w:val="auto"/>
                <w:sz w:val="22"/>
                <w:szCs w:val="22"/>
              </w:rPr>
              <w:t>Lunts</w:t>
            </w:r>
            <w:proofErr w:type="spellEnd"/>
            <w:r w:rsidR="0049366F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Heath</w:t>
            </w:r>
            <w:r w:rsidR="0038155D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have been assessed by the local authority as being </w:t>
            </w:r>
            <w:r w:rsidR="00087E3A" w:rsidRPr="00304B44">
              <w:rPr>
                <w:rFonts w:ascii="Arial" w:hAnsi="Arial" w:cs="Arial"/>
                <w:color w:val="auto"/>
                <w:sz w:val="22"/>
                <w:szCs w:val="22"/>
              </w:rPr>
              <w:t>A, B and C</w:t>
            </w:r>
            <w:r w:rsidR="0049366F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, and these values will be considered when carrying out the affordability assessments for all lets. </w:t>
            </w:r>
          </w:p>
          <w:p w14:paraId="652D8452" w14:textId="77777777" w:rsidR="00C568E6" w:rsidRPr="00304B44" w:rsidRDefault="00C568E6" w:rsidP="0098602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18C19B" w14:textId="0BCC97CA" w:rsidR="005013D4" w:rsidRPr="00304B44" w:rsidRDefault="0049366F" w:rsidP="0098602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4B44">
              <w:rPr>
                <w:rFonts w:ascii="Arial" w:hAnsi="Arial" w:cs="Arial"/>
                <w:color w:val="auto"/>
                <w:sz w:val="22"/>
                <w:szCs w:val="22"/>
              </w:rPr>
              <w:t>Halton Housing reserve the right to</w:t>
            </w:r>
            <w:r w:rsidR="00C2393A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 directly allocate up to 3 of the units </w:t>
            </w:r>
            <w:r w:rsidR="00992201" w:rsidRPr="00304B44">
              <w:rPr>
                <w:rFonts w:ascii="Arial" w:hAnsi="Arial" w:cs="Arial"/>
                <w:color w:val="auto"/>
                <w:sz w:val="22"/>
                <w:szCs w:val="22"/>
              </w:rPr>
              <w:t xml:space="preserve">to their own customers under their own lettings policy.  This will only be in cases where a request for a direct let has been </w:t>
            </w:r>
            <w:r w:rsidR="00304B44" w:rsidRPr="00304B44">
              <w:rPr>
                <w:rFonts w:ascii="Arial" w:hAnsi="Arial" w:cs="Arial"/>
                <w:color w:val="auto"/>
                <w:sz w:val="22"/>
                <w:szCs w:val="22"/>
              </w:rPr>
              <w:t>referred to the High Priority Panel for complex and/or emergency situations.</w:t>
            </w:r>
          </w:p>
          <w:p w14:paraId="51A832AE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0AAC24" w14:textId="002F605B" w:rsidR="00A2126B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lastRenderedPageBreak/>
              <w:t xml:space="preserve">It is a fundamental factor that all customers </w:t>
            </w:r>
            <w:r w:rsidR="00145887">
              <w:rPr>
                <w:rFonts w:ascii="Arial" w:hAnsi="Arial" w:cs="Arial"/>
                <w:sz w:val="22"/>
                <w:szCs w:val="22"/>
              </w:rPr>
              <w:t xml:space="preserve">are fully able 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afford </w:t>
            </w:r>
            <w:r w:rsidR="00204FDB">
              <w:rPr>
                <w:rFonts w:ascii="Arial" w:hAnsi="Arial" w:cs="Arial"/>
                <w:sz w:val="22"/>
                <w:szCs w:val="22"/>
              </w:rPr>
              <w:t xml:space="preserve">and sustain the properties, </w:t>
            </w:r>
            <w:r w:rsidRPr="00005C85">
              <w:rPr>
                <w:rFonts w:ascii="Arial" w:hAnsi="Arial" w:cs="Arial"/>
                <w:sz w:val="22"/>
                <w:szCs w:val="22"/>
              </w:rPr>
              <w:t>therefore each customer will be required to undertake a “Pre</w:t>
            </w:r>
            <w:r w:rsidR="00A211A9">
              <w:rPr>
                <w:rFonts w:ascii="Arial" w:hAnsi="Arial" w:cs="Arial"/>
                <w:sz w:val="22"/>
                <w:szCs w:val="22"/>
              </w:rPr>
              <w:t>-</w:t>
            </w:r>
            <w:r w:rsidRPr="00005C85">
              <w:rPr>
                <w:rFonts w:ascii="Arial" w:hAnsi="Arial" w:cs="Arial"/>
                <w:sz w:val="22"/>
                <w:szCs w:val="22"/>
              </w:rPr>
              <w:t xml:space="preserve">Tenancy </w:t>
            </w:r>
            <w:r w:rsidR="00A211A9">
              <w:rPr>
                <w:rFonts w:ascii="Arial" w:hAnsi="Arial" w:cs="Arial"/>
                <w:sz w:val="22"/>
                <w:szCs w:val="22"/>
              </w:rPr>
              <w:t>Interview</w:t>
            </w:r>
            <w:r w:rsidRPr="00005C85">
              <w:rPr>
                <w:rFonts w:ascii="Arial" w:hAnsi="Arial" w:cs="Arial"/>
                <w:sz w:val="22"/>
                <w:szCs w:val="22"/>
              </w:rPr>
              <w:t>” (PTI) which will incorporate an affordability assessment</w:t>
            </w:r>
            <w:r w:rsidR="00C568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F3883F" w14:textId="11E0041E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BE9FD8" w14:textId="787893F8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t>The aim of the PTI and assessment is to reduce any potential risks due to affordability and to ensure tenant sustainability.</w:t>
            </w:r>
          </w:p>
          <w:p w14:paraId="0953C3DD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8D9A13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5CABDB" w14:textId="10C7A3D1" w:rsidR="005013D4" w:rsidRPr="001655C6" w:rsidRDefault="005013D4" w:rsidP="0098602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655C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List of</w:t>
            </w:r>
            <w:r w:rsidRPr="001655C6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</w:t>
            </w:r>
            <w:r w:rsidRPr="001655C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Documentary Evidence</w:t>
            </w:r>
            <w:r w:rsidR="00124BA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**</w:t>
            </w:r>
          </w:p>
          <w:p w14:paraId="3A39F28F" w14:textId="77777777" w:rsidR="005013D4" w:rsidRPr="00005C85" w:rsidRDefault="005013D4" w:rsidP="009860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8E362B" w14:textId="77777777" w:rsidR="005013D4" w:rsidRDefault="005013D4" w:rsidP="009860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85">
              <w:rPr>
                <w:rFonts w:ascii="Arial" w:hAnsi="Arial" w:cs="Arial"/>
                <w:sz w:val="22"/>
                <w:szCs w:val="22"/>
              </w:rPr>
              <w:t>Property Pool Plus Banding breakdown</w:t>
            </w:r>
          </w:p>
          <w:p w14:paraId="15FE9196" w14:textId="6C63F691" w:rsidR="00E31BA4" w:rsidRDefault="00E31BA4" w:rsidP="009860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Halton Housing’s Local Lettings Policy.</w:t>
            </w:r>
          </w:p>
          <w:p w14:paraId="55686741" w14:textId="29722DF9" w:rsidR="00E31BA4" w:rsidRDefault="00E31BA4" w:rsidP="009860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Neighbourhood Agreement</w:t>
            </w:r>
          </w:p>
          <w:p w14:paraId="53B17737" w14:textId="0BB957CD" w:rsidR="00F244B8" w:rsidRDefault="00F244B8" w:rsidP="009860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 tenancy interview assessment template</w:t>
            </w:r>
          </w:p>
          <w:p w14:paraId="5F2C035A" w14:textId="77777777" w:rsidR="00F244B8" w:rsidRDefault="00F244B8" w:rsidP="00F24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CB193D" w14:textId="64CBCAF0" w:rsidR="00F244B8" w:rsidRPr="00F244B8" w:rsidRDefault="00F244B8" w:rsidP="00F24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**all the above documents are available upon request</w:t>
            </w:r>
            <w:r w:rsidR="00A81C8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DC0D3F4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902AA8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C141E7" w14:textId="77777777" w:rsidR="005013D4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8B3D0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1F0604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F6BEC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46163D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0E039C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F5D2A5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5399FF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422408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5AE16C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95BBB1" w14:textId="77777777" w:rsidR="001771AD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8058BD" w14:textId="77777777" w:rsidR="001771AD" w:rsidRPr="00005C85" w:rsidRDefault="001771AD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0A10B7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DD4578" w14:textId="77777777" w:rsidR="00C77773" w:rsidRPr="00005C85" w:rsidRDefault="00C77773" w:rsidP="0098602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  <w:gridCol w:w="141"/>
      </w:tblGrid>
      <w:tr w:rsidR="004F7357" w:rsidRPr="00005C85" w14:paraId="36597279" w14:textId="77777777" w:rsidTr="00C76E02">
        <w:trPr>
          <w:tblHeader/>
        </w:trPr>
        <w:tc>
          <w:tcPr>
            <w:tcW w:w="13603" w:type="dxa"/>
            <w:gridSpan w:val="2"/>
            <w:shd w:val="clear" w:color="auto" w:fill="7030A0"/>
          </w:tcPr>
          <w:p w14:paraId="0ABF095A" w14:textId="77777777" w:rsidR="003B3C67" w:rsidRPr="00005C85" w:rsidRDefault="003B3C67" w:rsidP="0098602D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14:paraId="5DD685CE" w14:textId="5C2EF799" w:rsidR="004F7357" w:rsidRPr="00005C85" w:rsidRDefault="004F7357" w:rsidP="00D222E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005C8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LOCAL LETTINGS </w:t>
            </w:r>
            <w:r w:rsidR="003653EF" w:rsidRPr="00005C8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PLAN</w:t>
            </w:r>
          </w:p>
          <w:p w14:paraId="0D36CAD0" w14:textId="77777777" w:rsidR="00BA566D" w:rsidRPr="00005C85" w:rsidRDefault="00BA566D" w:rsidP="00BA566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Hatters Chase,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Sandmoor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, Runcorn, Cheshire</w:t>
            </w:r>
          </w:p>
          <w:p w14:paraId="09D80DF3" w14:textId="3172691A" w:rsidR="004F7357" w:rsidRPr="00005C85" w:rsidRDefault="004F7357" w:rsidP="00D222E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  <w:p w14:paraId="409BDC26" w14:textId="77777777" w:rsidR="003B3C67" w:rsidRPr="00005C85" w:rsidRDefault="003B3C67" w:rsidP="0098602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013D4" w:rsidRPr="00005C85" w14:paraId="2A8C76B7" w14:textId="77777777" w:rsidTr="00386E54">
        <w:trPr>
          <w:gridAfter w:val="1"/>
          <w:wAfter w:w="141" w:type="dxa"/>
          <w:trHeight w:val="6200"/>
        </w:trPr>
        <w:tc>
          <w:tcPr>
            <w:tcW w:w="13462" w:type="dxa"/>
          </w:tcPr>
          <w:p w14:paraId="2F98169D" w14:textId="77777777" w:rsidR="005013D4" w:rsidRDefault="005013D4" w:rsidP="0098602D">
            <w:p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744852F1" w14:textId="1A5DFC06" w:rsidR="005013D4" w:rsidRPr="00005C85" w:rsidRDefault="00BC5D09" w:rsidP="0098602D">
            <w:p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This </w:t>
            </w:r>
            <w:r w:rsidR="005013D4"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Local Lettings Plan applies to </w:t>
            </w:r>
            <w:r w:rsidR="005013D4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all Affordable Rent </w:t>
            </w:r>
            <w:r w:rsidR="005013D4"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plots </w:t>
            </w:r>
          </w:p>
          <w:p w14:paraId="15A2DC38" w14:textId="77777777" w:rsidR="005013D4" w:rsidRPr="00005C85" w:rsidRDefault="005013D4" w:rsidP="0098602D">
            <w:pPr>
              <w:keepNext/>
              <w:tabs>
                <w:tab w:val="left" w:pos="7689"/>
              </w:tabs>
              <w:jc w:val="both"/>
              <w:outlineLvl w:val="4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05C85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23E6FCC7" w14:textId="77777777" w:rsidR="005013D4" w:rsidRPr="00B052F0" w:rsidRDefault="005013D4" w:rsidP="0098602D">
            <w:pPr>
              <w:keepNext/>
              <w:tabs>
                <w:tab w:val="left" w:pos="7689"/>
              </w:tabs>
              <w:jc w:val="both"/>
              <w:outlineLvl w:val="4"/>
              <w:rPr>
                <w:rFonts w:ascii="Arial" w:hAnsi="Arial" w:cs="Arial"/>
                <w:b/>
                <w:bCs/>
                <w:i/>
                <w:color w:val="auto"/>
                <w:sz w:val="22"/>
                <w:szCs w:val="22"/>
                <w:u w:val="single"/>
                <w:lang w:eastAsia="en-US"/>
              </w:rPr>
            </w:pPr>
            <w:r w:rsidRPr="00B052F0">
              <w:rPr>
                <w:rFonts w:ascii="Arial" w:hAnsi="Arial" w:cs="Arial"/>
                <w:b/>
                <w:bCs/>
                <w:i/>
                <w:color w:val="auto"/>
                <w:sz w:val="22"/>
                <w:szCs w:val="22"/>
                <w:u w:val="single"/>
                <w:lang w:eastAsia="en-US"/>
              </w:rPr>
              <w:t xml:space="preserve">Conditions Applied </w:t>
            </w:r>
          </w:p>
          <w:p w14:paraId="6F7C2D1D" w14:textId="77777777" w:rsidR="005013D4" w:rsidRPr="00005C85" w:rsidRDefault="005013D4" w:rsidP="0098602D">
            <w:pPr>
              <w:tabs>
                <w:tab w:val="left" w:pos="7689"/>
              </w:tabs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09DBB50A" w14:textId="245648F4" w:rsidR="005013D4" w:rsidRPr="00005C85" w:rsidRDefault="00AA123F" w:rsidP="0098602D">
            <w:pPr>
              <w:numPr>
                <w:ilvl w:val="0"/>
                <w:numId w:val="1"/>
              </w:num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30</w:t>
            </w:r>
            <w:r w:rsidR="005013D4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of the</w:t>
            </w:r>
            <w:r w:rsidR="005013D4"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homes will be let at </w:t>
            </w:r>
            <w:r w:rsidR="00C96C3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</w:t>
            </w:r>
            <w:r w:rsidR="005013D4"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ffordable </w:t>
            </w:r>
            <w:r w:rsidR="00C96C3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</w:t>
            </w:r>
            <w:r w:rsidR="005013D4"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ent.</w:t>
            </w:r>
          </w:p>
          <w:p w14:paraId="4CBCEBB7" w14:textId="77777777" w:rsidR="005013D4" w:rsidRPr="00005C85" w:rsidRDefault="005013D4" w:rsidP="0098602D">
            <w:pPr>
              <w:tabs>
                <w:tab w:val="left" w:pos="7689"/>
              </w:tabs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0644C971" w14:textId="52216967" w:rsidR="005013D4" w:rsidRPr="00386E54" w:rsidRDefault="005013D4" w:rsidP="00386E54">
            <w:pPr>
              <w:numPr>
                <w:ilvl w:val="0"/>
                <w:numId w:val="1"/>
              </w:num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The Local Lettings Plan at</w:t>
            </w:r>
            <w:r w:rsidR="00C568E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A123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Lunts</w:t>
            </w:r>
            <w:proofErr w:type="spellEnd"/>
            <w:r w:rsidR="00AA123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Heath</w:t>
            </w:r>
            <w:r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will give priority to </w:t>
            </w:r>
            <w:r w:rsidR="00C568E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50% of </w:t>
            </w:r>
            <w:r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applicants who are working, seeking work and/or who currently make a contribution to the community</w:t>
            </w:r>
            <w:r w:rsidR="00E31BA4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and 50% will be allocated to general need</w:t>
            </w:r>
            <w:r w:rsidR="00BF235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s, including those applicants who have been medically assessed as requiring ground floor accommodation. </w:t>
            </w:r>
          </w:p>
          <w:p w14:paraId="17F0A43C" w14:textId="77777777" w:rsidR="005013D4" w:rsidRPr="00005C85" w:rsidRDefault="005013D4" w:rsidP="0098602D">
            <w:pPr>
              <w:tabs>
                <w:tab w:val="left" w:pos="7689"/>
              </w:tabs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5417EDC1" w14:textId="77777777" w:rsidR="005013D4" w:rsidRDefault="005013D4" w:rsidP="005013D4">
            <w:pPr>
              <w:numPr>
                <w:ilvl w:val="0"/>
                <w:numId w:val="1"/>
              </w:num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Applicants who are pregnant at the time of advertising will also be given consideration in line with the Property Pool Plus Polic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y</w:t>
            </w:r>
          </w:p>
          <w:p w14:paraId="3508F728" w14:textId="77777777" w:rsidR="005013D4" w:rsidRDefault="005013D4" w:rsidP="005013D4">
            <w:pPr>
              <w:pStyle w:val="ListParagrap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05D93D69" w14:textId="7E8C4221" w:rsidR="005013D4" w:rsidRPr="005013D4" w:rsidRDefault="005013D4" w:rsidP="005013D4">
            <w:pPr>
              <w:tabs>
                <w:tab w:val="left" w:pos="7689"/>
              </w:tabs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5013D4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(if a MATB1 has been submitted as part of the mandatory evidence required)</w:t>
            </w:r>
          </w:p>
          <w:p w14:paraId="7A158DAD" w14:textId="77777777" w:rsidR="005013D4" w:rsidRPr="00005C85" w:rsidRDefault="005013D4" w:rsidP="0098602D">
            <w:p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4129E075" w14:textId="37493455" w:rsidR="00C568E6" w:rsidRDefault="005013D4" w:rsidP="0076263C">
            <w:pPr>
              <w:numPr>
                <w:ilvl w:val="0"/>
                <w:numId w:val="1"/>
              </w:num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72D5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Starter tenancies will be given to </w:t>
            </w:r>
            <w:r w:rsidR="00C568E6" w:rsidRPr="00C72D5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all</w:t>
            </w:r>
            <w:r w:rsidRPr="00C72D5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new customers</w:t>
            </w:r>
            <w:r w:rsidR="00C72D5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unless applicants are already Halton Housing tenants, to which their existing tenure will remain (Assured)</w:t>
            </w:r>
          </w:p>
          <w:p w14:paraId="299A4C41" w14:textId="77777777" w:rsidR="00C72D52" w:rsidRPr="00C72D52" w:rsidRDefault="00C72D52" w:rsidP="00C72D52">
            <w:pPr>
              <w:tabs>
                <w:tab w:val="left" w:pos="7689"/>
              </w:tabs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5DD17FCA" w14:textId="78AF8541" w:rsidR="00C568E6" w:rsidRDefault="00C568E6" w:rsidP="00C568E6">
            <w:pPr>
              <w:numPr>
                <w:ilvl w:val="0"/>
                <w:numId w:val="1"/>
              </w:num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All </w:t>
            </w:r>
            <w:r w:rsidR="00A81C8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customers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will </w:t>
            </w:r>
            <w:r w:rsidR="00E31BA4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be required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to sign a ‘Good Neighbour Agreement’ </w:t>
            </w:r>
          </w:p>
          <w:p w14:paraId="2F0E5981" w14:textId="77777777" w:rsidR="00A81C82" w:rsidRDefault="00A81C82" w:rsidP="00A81C82">
            <w:pPr>
              <w:pStyle w:val="ListParagrap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6523F22B" w14:textId="5AB456A8" w:rsidR="00A81C82" w:rsidRPr="00C568E6" w:rsidRDefault="00A81C82" w:rsidP="00C568E6">
            <w:pPr>
              <w:numPr>
                <w:ilvl w:val="0"/>
                <w:numId w:val="1"/>
              </w:num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All</w:t>
            </w:r>
            <w:r w:rsidR="00045E9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customers must provide a satisfactory landlord reference</w:t>
            </w:r>
            <w:r w:rsidR="00C455A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(s)</w:t>
            </w:r>
            <w:r w:rsidR="00045E9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if held a tenancy within the last 5 years.</w:t>
            </w:r>
          </w:p>
          <w:p w14:paraId="37EF60AD" w14:textId="77777777" w:rsidR="005013D4" w:rsidRPr="00005C85" w:rsidRDefault="005013D4" w:rsidP="0098602D">
            <w:p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755CB119" w14:textId="536D6397" w:rsidR="005013D4" w:rsidRPr="00005C85" w:rsidRDefault="005013D4" w:rsidP="0098602D">
            <w:pPr>
              <w:numPr>
                <w:ilvl w:val="0"/>
                <w:numId w:val="1"/>
              </w:num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There is a right to a</w:t>
            </w:r>
            <w:r w:rsidR="00C455A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n</w:t>
            </w:r>
            <w:r w:rsidR="00BC5D0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appeal </w:t>
            </w:r>
            <w:r w:rsidR="00941214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within the PPP policy </w:t>
            </w:r>
            <w:r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for any individual allocation decision.</w:t>
            </w:r>
          </w:p>
          <w:p w14:paraId="00030DA3" w14:textId="77777777" w:rsidR="005013D4" w:rsidRPr="00005C85" w:rsidRDefault="005013D4" w:rsidP="0098602D">
            <w:pPr>
              <w:tabs>
                <w:tab w:val="left" w:pos="768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102EDBF1" w14:textId="45ECC7D9" w:rsidR="005013D4" w:rsidRPr="00005C85" w:rsidRDefault="005013D4" w:rsidP="00986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This plan will be effective from </w:t>
            </w:r>
            <w:r w:rsidR="00A057D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26</w:t>
            </w:r>
            <w:r w:rsidR="00A057DE" w:rsidRPr="00A057DE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eastAsia="en-US"/>
              </w:rPr>
              <w:t>th</w:t>
            </w:r>
            <w:r w:rsidR="00A057D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May 2025</w:t>
            </w:r>
            <w:r w:rsidR="00941214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B23C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and will be reviewed 12</w:t>
            </w:r>
            <w:r w:rsidRPr="00005C8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months thereafter.</w:t>
            </w:r>
          </w:p>
          <w:p w14:paraId="70B86917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A49C63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AE326" w14:textId="77777777" w:rsidR="005013D4" w:rsidRPr="00005C85" w:rsidRDefault="005013D4" w:rsidP="00986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B31093" w14:textId="77777777" w:rsidR="003B3C67" w:rsidRDefault="003B3C67" w:rsidP="0098602D">
      <w:pPr>
        <w:jc w:val="both"/>
        <w:rPr>
          <w:rFonts w:ascii="Arial" w:hAnsi="Arial" w:cs="Arial"/>
          <w:sz w:val="24"/>
          <w:szCs w:val="24"/>
        </w:rPr>
      </w:pPr>
    </w:p>
    <w:p w14:paraId="158FC18B" w14:textId="77777777" w:rsidR="003B3C67" w:rsidRDefault="003B3C67" w:rsidP="0098602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8"/>
        <w:gridCol w:w="284"/>
      </w:tblGrid>
      <w:tr w:rsidR="003B3C67" w:rsidRPr="00C77773" w14:paraId="3A681A59" w14:textId="77777777" w:rsidTr="005013D4">
        <w:trPr>
          <w:tblHeader/>
        </w:trPr>
        <w:tc>
          <w:tcPr>
            <w:tcW w:w="13462" w:type="dxa"/>
            <w:gridSpan w:val="2"/>
            <w:shd w:val="clear" w:color="auto" w:fill="7030A0"/>
          </w:tcPr>
          <w:p w14:paraId="47009D1B" w14:textId="77777777" w:rsidR="003B3C67" w:rsidRPr="00A96A9B" w:rsidRDefault="003B3C67" w:rsidP="0098602D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  <w:p w14:paraId="7D97E3B4" w14:textId="7D3852B7" w:rsidR="003B3C67" w:rsidRPr="003B1CEE" w:rsidRDefault="003B3C67" w:rsidP="003B1CE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3B1CE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LOCAL LETTINGS PLAN</w:t>
            </w:r>
          </w:p>
          <w:p w14:paraId="47077ADC" w14:textId="77777777" w:rsidR="003B3C67" w:rsidRPr="00A96A9B" w:rsidRDefault="003B3C67" w:rsidP="0098602D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  <w:p w14:paraId="0501172D" w14:textId="77777777" w:rsidR="003B3C67" w:rsidRPr="003B3C67" w:rsidRDefault="003B3C67" w:rsidP="003B1CE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B3C6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STAFF GUIDANCE</w:t>
            </w:r>
          </w:p>
          <w:p w14:paraId="15E2D73E" w14:textId="77777777" w:rsidR="003B3C67" w:rsidRPr="00C77773" w:rsidRDefault="003B3C67" w:rsidP="0098602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013D4" w14:paraId="13AFA313" w14:textId="77777777" w:rsidTr="005013D4">
        <w:trPr>
          <w:gridAfter w:val="1"/>
          <w:wAfter w:w="284" w:type="dxa"/>
        </w:trPr>
        <w:tc>
          <w:tcPr>
            <w:tcW w:w="13178" w:type="dxa"/>
          </w:tcPr>
          <w:p w14:paraId="46C7A458" w14:textId="77777777" w:rsidR="005013D4" w:rsidRDefault="005013D4" w:rsidP="00986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F89FE7" w14:textId="50F5BED4" w:rsidR="005013D4" w:rsidRPr="00A96A9B" w:rsidRDefault="005013D4" w:rsidP="0098602D">
            <w:pPr>
              <w:ind w:right="34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The following procedure will take place whenever there is a vacant 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Affordable Rent 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property for the</w:t>
            </w:r>
            <w:r w:rsidR="00C455A1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Hatters Chase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New Build Scheme,</w:t>
            </w:r>
          </w:p>
          <w:p w14:paraId="241B5C41" w14:textId="77777777" w:rsidR="005013D4" w:rsidRPr="00A96A9B" w:rsidRDefault="005013D4" w:rsidP="0098602D">
            <w:pPr>
              <w:ind w:right="1152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48AEDC7D" w14:textId="2841E088" w:rsidR="005013D4" w:rsidRPr="00A96A9B" w:rsidRDefault="005013D4" w:rsidP="0098602D">
            <w:pPr>
              <w:numPr>
                <w:ilvl w:val="0"/>
                <w:numId w:val="3"/>
              </w:numPr>
              <w:tabs>
                <w:tab w:val="clear" w:pos="964"/>
                <w:tab w:val="num" w:pos="567"/>
              </w:tabs>
              <w:ind w:left="567" w:right="34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Property 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handover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is received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from builder</w:t>
            </w:r>
            <w:r w:rsidR="00E31BA4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(due </w:t>
            </w:r>
            <w:r w:rsidR="00A057DE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26/05</w:t>
            </w:r>
            <w:r w:rsidR="00E31BA4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/202</w:t>
            </w:r>
            <w:r w:rsidR="00A60DF0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5</w:t>
            </w:r>
            <w:r w:rsidR="00E31BA4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)</w:t>
            </w:r>
          </w:p>
          <w:p w14:paraId="774D8E0F" w14:textId="77777777" w:rsidR="005013D4" w:rsidRPr="00A96A9B" w:rsidRDefault="005013D4" w:rsidP="0098602D">
            <w:pPr>
              <w:tabs>
                <w:tab w:val="num" w:pos="567"/>
              </w:tabs>
              <w:ind w:left="567" w:right="34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754FCFCE" w14:textId="14C06D51" w:rsidR="005013D4" w:rsidRPr="00A96A9B" w:rsidRDefault="005013D4" w:rsidP="0098602D">
            <w:pPr>
              <w:numPr>
                <w:ilvl w:val="0"/>
                <w:numId w:val="3"/>
              </w:numPr>
              <w:tabs>
                <w:tab w:val="clear" w:pos="964"/>
                <w:tab w:val="num" w:pos="567"/>
              </w:tabs>
              <w:ind w:left="567" w:right="34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Properties will be advertised </w:t>
            </w:r>
            <w:r w:rsidR="00FD4554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on the PPP system and will 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outl</w:t>
            </w:r>
            <w:r w:rsidR="00FD4554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ine 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the Local Lettings Plan</w:t>
            </w:r>
            <w:r w:rsidR="00E31BA4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(Copies of LLP will be upload onto PPP for applicants to access)</w:t>
            </w:r>
          </w:p>
          <w:p w14:paraId="11E40381" w14:textId="77777777" w:rsidR="005013D4" w:rsidRPr="00A96A9B" w:rsidRDefault="005013D4" w:rsidP="0098602D">
            <w:pPr>
              <w:tabs>
                <w:tab w:val="num" w:pos="567"/>
              </w:tabs>
              <w:ind w:left="567" w:right="34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73673477" w14:textId="402981A3" w:rsidR="005013D4" w:rsidRPr="00A96A9B" w:rsidRDefault="005013D4" w:rsidP="0098602D">
            <w:pPr>
              <w:numPr>
                <w:ilvl w:val="0"/>
                <w:numId w:val="3"/>
              </w:numPr>
              <w:tabs>
                <w:tab w:val="clear" w:pos="964"/>
                <w:tab w:val="num" w:pos="567"/>
              </w:tabs>
              <w:ind w:left="567" w:right="34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Th</w:t>
            </w:r>
            <w:r w:rsidR="00E31BA4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e Neighbourhood Allocations Team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will produce a shortlist following c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losure of the advertising cycle</w:t>
            </w:r>
            <w:r w:rsidR="00A60DF0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(s)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.</w:t>
            </w:r>
          </w:p>
          <w:p w14:paraId="5954B9CE" w14:textId="77777777" w:rsidR="005013D4" w:rsidRPr="00A96A9B" w:rsidRDefault="005013D4" w:rsidP="0098602D">
            <w:pPr>
              <w:tabs>
                <w:tab w:val="num" w:pos="567"/>
              </w:tabs>
              <w:ind w:left="567" w:right="34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2269085A" w14:textId="74A48B36" w:rsidR="005013D4" w:rsidRPr="00A96A9B" w:rsidRDefault="005013D4" w:rsidP="0098602D">
            <w:pPr>
              <w:numPr>
                <w:ilvl w:val="0"/>
                <w:numId w:val="3"/>
              </w:numPr>
              <w:tabs>
                <w:tab w:val="clear" w:pos="964"/>
                <w:tab w:val="num" w:pos="567"/>
              </w:tabs>
              <w:ind w:left="567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A provisional offer letter is prepared for the prospective customer it must advise that expressing an interest in a tenancy for the accommodation </w:t>
            </w:r>
            <w:r w:rsidR="009326D9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at </w:t>
            </w:r>
            <w:proofErr w:type="spellStart"/>
            <w:r w:rsidR="003D1A53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Lunts</w:t>
            </w:r>
            <w:proofErr w:type="spellEnd"/>
            <w:r w:rsidR="003D1A53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Heath </w:t>
            </w:r>
            <w:r w:rsidR="00D239EF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is governed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by </w:t>
            </w:r>
            <w:r w:rsidR="00D239EF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a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Local Lettings Plan </w:t>
            </w:r>
            <w:r w:rsidR="00D239EF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and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the following the following conditions apply: -</w:t>
            </w:r>
          </w:p>
          <w:p w14:paraId="3272297B" w14:textId="77777777" w:rsidR="005013D4" w:rsidRPr="00A96A9B" w:rsidRDefault="005013D4" w:rsidP="0098602D">
            <w:pPr>
              <w:tabs>
                <w:tab w:val="num" w:pos="567"/>
              </w:tabs>
              <w:ind w:left="567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60AE23C8" w14:textId="591ADE61" w:rsidR="005013D4" w:rsidRPr="00A96A9B" w:rsidRDefault="005013D4" w:rsidP="0098602D">
            <w:pPr>
              <w:numPr>
                <w:ilvl w:val="1"/>
                <w:numId w:val="3"/>
              </w:numPr>
              <w:tabs>
                <w:tab w:val="num" w:pos="567"/>
              </w:tabs>
              <w:ind w:left="567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An 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PTI and Affordability Assessment</w:t>
            </w:r>
            <w:r w:rsidR="001771AD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.</w:t>
            </w:r>
          </w:p>
          <w:p w14:paraId="1FD70467" w14:textId="5A5C9435" w:rsidR="0098089E" w:rsidRPr="0024659B" w:rsidRDefault="005013D4" w:rsidP="0024659B">
            <w:pPr>
              <w:numPr>
                <w:ilvl w:val="1"/>
                <w:numId w:val="3"/>
              </w:numPr>
              <w:tabs>
                <w:tab w:val="num" w:pos="567"/>
              </w:tabs>
              <w:ind w:left="567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Provision of </w:t>
            </w:r>
            <w:r w:rsidR="005B1771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1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appropriate character reference</w:t>
            </w:r>
            <w:r w:rsidR="005B1771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96A9B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from their employer</w:t>
            </w:r>
          </w:p>
          <w:p w14:paraId="6DD614DB" w14:textId="445584DE" w:rsidR="005013D4" w:rsidRPr="0098089E" w:rsidRDefault="005013D4" w:rsidP="0098089E">
            <w:pPr>
              <w:numPr>
                <w:ilvl w:val="1"/>
                <w:numId w:val="3"/>
              </w:numPr>
              <w:tabs>
                <w:tab w:val="num" w:pos="567"/>
              </w:tabs>
              <w:ind w:left="567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98089E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Agreement to sign a Good Neighbour </w:t>
            </w:r>
            <w:r w:rsidR="00F836D8" w:rsidRPr="0098089E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Agreement</w:t>
            </w:r>
          </w:p>
          <w:p w14:paraId="70FB82BC" w14:textId="77777777" w:rsidR="005013D4" w:rsidRPr="00A96A9B" w:rsidRDefault="005013D4" w:rsidP="008679B4">
            <w:pPr>
              <w:tabs>
                <w:tab w:val="num" w:pos="567"/>
              </w:tabs>
              <w:ind w:right="1152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7BD35A22" w14:textId="1E2F70CB" w:rsidR="005013D4" w:rsidRDefault="00E31BA4" w:rsidP="0098602D">
            <w:pPr>
              <w:numPr>
                <w:ilvl w:val="0"/>
                <w:numId w:val="3"/>
              </w:numPr>
              <w:tabs>
                <w:tab w:val="clear" w:pos="964"/>
                <w:tab w:val="num" w:pos="567"/>
              </w:tabs>
              <w:ind w:left="567" w:right="34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A</w:t>
            </w:r>
            <w:r w:rsidR="005013D4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ny offer maybe subsequently refused as per the Property Pool Policy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, if any anomalies are identified at application verification stage.</w:t>
            </w:r>
          </w:p>
          <w:p w14:paraId="7635C3A8" w14:textId="77777777" w:rsidR="005013D4" w:rsidRDefault="005013D4" w:rsidP="0098602D">
            <w:pPr>
              <w:pStyle w:val="ListParagraph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566CBF64" w14:textId="45D8928D" w:rsidR="0072383A" w:rsidRPr="0072383A" w:rsidRDefault="005013D4" w:rsidP="0072383A">
            <w:pPr>
              <w:numPr>
                <w:ilvl w:val="0"/>
                <w:numId w:val="3"/>
              </w:numPr>
              <w:tabs>
                <w:tab w:val="clear" w:pos="964"/>
                <w:tab w:val="num" w:pos="567"/>
              </w:tabs>
              <w:ind w:left="567" w:right="34" w:hanging="425"/>
              <w:jc w:val="both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67413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Only once all checks have been undertaken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the</w:t>
            </w:r>
            <w:r w:rsidRPr="0067413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customer</w:t>
            </w:r>
            <w:r w:rsidRPr="0067413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can proceed to viewing a property and sign up</w:t>
            </w:r>
            <w:r w:rsidR="001771AD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to a new starter tenancy.</w:t>
            </w:r>
          </w:p>
          <w:p w14:paraId="2564B673" w14:textId="483008B7" w:rsidR="005013D4" w:rsidRDefault="005013D4" w:rsidP="00986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3B62D" w14:textId="77777777" w:rsidR="00425301" w:rsidRDefault="00425301" w:rsidP="00986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4EB403" w14:textId="77777777" w:rsidR="003C4554" w:rsidRDefault="003C4554" w:rsidP="009860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3AF9E348" w14:textId="77777777" w:rsidR="003C4554" w:rsidRDefault="003C4554" w:rsidP="009860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3F6D78B0" w14:textId="77777777" w:rsidR="00A72A75" w:rsidRDefault="00A72A75" w:rsidP="009860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56D95601" w14:textId="77777777" w:rsidR="003D1A53" w:rsidRDefault="003D1A53" w:rsidP="009860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A9FD1B2" w14:textId="77777777" w:rsidR="003D1A53" w:rsidRDefault="003D1A53" w:rsidP="009860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6FD08375" w14:textId="77777777" w:rsidR="00A72A75" w:rsidRDefault="00A72A75" w:rsidP="009860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12E67F7A" w14:textId="65BBC70F" w:rsidR="00425301" w:rsidRDefault="00425301" w:rsidP="009860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Responsibility for LLP</w:t>
            </w:r>
          </w:p>
          <w:p w14:paraId="50FE3A34" w14:textId="77777777" w:rsidR="00425301" w:rsidRDefault="00425301" w:rsidP="009860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327ECD08" w14:textId="5AA564DF" w:rsidR="00425301" w:rsidRDefault="00425301" w:rsidP="00986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30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04559">
              <w:rPr>
                <w:rFonts w:ascii="Arial" w:hAnsi="Arial" w:cs="Arial"/>
                <w:sz w:val="24"/>
                <w:szCs w:val="24"/>
              </w:rPr>
              <w:t>Director of Customer</w:t>
            </w:r>
            <w:r w:rsidR="00E31BA4"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006045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25F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E31BA4">
              <w:rPr>
                <w:rFonts w:ascii="Arial" w:hAnsi="Arial" w:cs="Arial"/>
                <w:sz w:val="24"/>
                <w:szCs w:val="24"/>
              </w:rPr>
              <w:t>Neighbourhood Allocations</w:t>
            </w:r>
            <w:r w:rsidR="0040525F">
              <w:rPr>
                <w:rFonts w:ascii="Arial" w:hAnsi="Arial" w:cs="Arial"/>
                <w:sz w:val="24"/>
                <w:szCs w:val="24"/>
              </w:rPr>
              <w:t xml:space="preserve"> Manager </w:t>
            </w:r>
            <w:r w:rsidR="00604559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425301">
              <w:rPr>
                <w:rFonts w:ascii="Arial" w:hAnsi="Arial" w:cs="Arial"/>
                <w:sz w:val="24"/>
                <w:szCs w:val="24"/>
              </w:rPr>
              <w:t xml:space="preserve">be responsible for the implementation of this plan.  </w:t>
            </w:r>
          </w:p>
          <w:p w14:paraId="3B38BEF5" w14:textId="77777777" w:rsidR="006D19C8" w:rsidRDefault="006D19C8" w:rsidP="00986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31F5FE" w14:textId="3A24F90F" w:rsidR="006D19C8" w:rsidRPr="006D19C8" w:rsidRDefault="00CC77E2" w:rsidP="006D19C8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Associated Documents</w:t>
            </w:r>
          </w:p>
          <w:p w14:paraId="008DA253" w14:textId="6B9B84BE" w:rsidR="006D19C8" w:rsidRPr="006D19C8" w:rsidRDefault="006D19C8" w:rsidP="006D1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909C4" w14:textId="6ECF4CF5" w:rsidR="006D19C8" w:rsidRPr="00AD2041" w:rsidRDefault="006D19C8" w:rsidP="00AD204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041">
              <w:rPr>
                <w:rFonts w:ascii="Arial" w:hAnsi="Arial" w:cs="Arial"/>
                <w:sz w:val="24"/>
                <w:szCs w:val="24"/>
              </w:rPr>
              <w:t xml:space="preserve">Property Pool Plus </w:t>
            </w:r>
            <w:r w:rsidR="0072383A" w:rsidRPr="00AD2041">
              <w:rPr>
                <w:rFonts w:ascii="Arial" w:hAnsi="Arial" w:cs="Arial"/>
                <w:sz w:val="24"/>
                <w:szCs w:val="24"/>
              </w:rPr>
              <w:t>Policy</w:t>
            </w:r>
          </w:p>
          <w:p w14:paraId="570EA151" w14:textId="4BDBF259" w:rsidR="00AD2041" w:rsidRPr="00AD2041" w:rsidRDefault="00AD2041" w:rsidP="00AD204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Lettings Policy</w:t>
            </w:r>
          </w:p>
          <w:p w14:paraId="3FE2A568" w14:textId="77777777" w:rsidR="00E31BA4" w:rsidRDefault="00E31BA4" w:rsidP="00E31B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FED285" w14:textId="77777777" w:rsidR="00BE1E97" w:rsidRDefault="00BE1E97" w:rsidP="00E31B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646CC6" w14:textId="4CEF03B6" w:rsidR="00BE1E97" w:rsidRPr="00E31BA4" w:rsidRDefault="00BE1E97" w:rsidP="00E31B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D9532" w14:textId="77777777" w:rsidR="006D19C8" w:rsidRDefault="006D19C8" w:rsidP="00986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423E5F" w14:textId="0B028038" w:rsidR="006D19C8" w:rsidRPr="00425301" w:rsidRDefault="006D19C8" w:rsidP="00986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0FBEA8" w14:textId="77777777" w:rsidR="003B3C67" w:rsidRDefault="003B3C67" w:rsidP="0098602D">
      <w:pPr>
        <w:jc w:val="both"/>
        <w:rPr>
          <w:rFonts w:ascii="Arial" w:hAnsi="Arial" w:cs="Arial"/>
          <w:sz w:val="24"/>
          <w:szCs w:val="24"/>
        </w:rPr>
      </w:pPr>
    </w:p>
    <w:p w14:paraId="7B121A0E" w14:textId="77777777" w:rsidR="00EC16BE" w:rsidRDefault="00EC16BE" w:rsidP="0098602D">
      <w:pPr>
        <w:jc w:val="both"/>
        <w:rPr>
          <w:rFonts w:ascii="Arial" w:hAnsi="Arial" w:cs="Arial"/>
          <w:sz w:val="24"/>
          <w:szCs w:val="24"/>
        </w:rPr>
      </w:pPr>
    </w:p>
    <w:sectPr w:rsidR="00EC16BE" w:rsidSect="005B619A">
      <w:footerReference w:type="default" r:id="rId10"/>
      <w:pgSz w:w="16838" w:h="11906" w:orient="landscape"/>
      <w:pgMar w:top="1440" w:right="113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F4F5" w14:textId="77777777" w:rsidR="004B0F3D" w:rsidRDefault="004B0F3D" w:rsidP="00FC3F5A">
      <w:pPr>
        <w:spacing w:after="0" w:line="240" w:lineRule="auto"/>
      </w:pPr>
      <w:r>
        <w:separator/>
      </w:r>
    </w:p>
  </w:endnote>
  <w:endnote w:type="continuationSeparator" w:id="0">
    <w:p w14:paraId="11C397B5" w14:textId="77777777" w:rsidR="004B0F3D" w:rsidRDefault="004B0F3D" w:rsidP="00F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8297495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AE02AB" w14:textId="77777777" w:rsidR="004A7CB3" w:rsidRPr="00FC3F5A" w:rsidRDefault="004A7CB3">
            <w:pPr>
              <w:pStyle w:val="Footer"/>
              <w:jc w:val="center"/>
              <w:rPr>
                <w:rFonts w:ascii="Arial" w:hAnsi="Arial" w:cs="Arial"/>
              </w:rPr>
            </w:pPr>
            <w:r w:rsidRPr="00FC3F5A">
              <w:rPr>
                <w:rFonts w:ascii="Arial" w:hAnsi="Arial" w:cs="Arial"/>
              </w:rPr>
              <w:t xml:space="preserve">Page </w:t>
            </w:r>
            <w:r w:rsidRPr="00FC3F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C3F5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C3F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B23C1">
              <w:rPr>
                <w:rFonts w:ascii="Arial" w:hAnsi="Arial" w:cs="Arial"/>
                <w:b/>
                <w:bCs/>
                <w:noProof/>
              </w:rPr>
              <w:t>2</w:t>
            </w:r>
            <w:r w:rsidRPr="00FC3F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C3F5A">
              <w:rPr>
                <w:rFonts w:ascii="Arial" w:hAnsi="Arial" w:cs="Arial"/>
              </w:rPr>
              <w:t xml:space="preserve"> of </w:t>
            </w:r>
            <w:r w:rsidRPr="00FC3F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C3F5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C3F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B23C1">
              <w:rPr>
                <w:rFonts w:ascii="Arial" w:hAnsi="Arial" w:cs="Arial"/>
                <w:b/>
                <w:bCs/>
                <w:noProof/>
              </w:rPr>
              <w:t>6</w:t>
            </w:r>
            <w:r w:rsidRPr="00FC3F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A9298C" w14:textId="77777777" w:rsidR="004A7CB3" w:rsidRDefault="004A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71F5C" w14:textId="77777777" w:rsidR="004B0F3D" w:rsidRDefault="004B0F3D" w:rsidP="00FC3F5A">
      <w:pPr>
        <w:spacing w:after="0" w:line="240" w:lineRule="auto"/>
      </w:pPr>
      <w:r>
        <w:separator/>
      </w:r>
    </w:p>
  </w:footnote>
  <w:footnote w:type="continuationSeparator" w:id="0">
    <w:p w14:paraId="0D503E81" w14:textId="77777777" w:rsidR="004B0F3D" w:rsidRDefault="004B0F3D" w:rsidP="00FC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2FF7"/>
    <w:multiLevelType w:val="hybridMultilevel"/>
    <w:tmpl w:val="88CC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7A68"/>
    <w:multiLevelType w:val="hybridMultilevel"/>
    <w:tmpl w:val="74B0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0C5E"/>
    <w:multiLevelType w:val="hybridMultilevel"/>
    <w:tmpl w:val="5BE6ECFC"/>
    <w:lvl w:ilvl="0" w:tplc="7CA652F8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291E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B020B"/>
    <w:multiLevelType w:val="hybridMultilevel"/>
    <w:tmpl w:val="2A9A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745E"/>
    <w:multiLevelType w:val="hybridMultilevel"/>
    <w:tmpl w:val="3AC29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78E0"/>
    <w:multiLevelType w:val="hybridMultilevel"/>
    <w:tmpl w:val="E7D67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03DF3"/>
    <w:multiLevelType w:val="hybridMultilevel"/>
    <w:tmpl w:val="993C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D6A3A"/>
    <w:multiLevelType w:val="hybridMultilevel"/>
    <w:tmpl w:val="E10286CE"/>
    <w:lvl w:ilvl="0" w:tplc="F01E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num w:numId="1" w16cid:durableId="1919056974">
    <w:abstractNumId w:val="7"/>
  </w:num>
  <w:num w:numId="2" w16cid:durableId="526019205">
    <w:abstractNumId w:val="5"/>
  </w:num>
  <w:num w:numId="3" w16cid:durableId="255285792">
    <w:abstractNumId w:val="2"/>
  </w:num>
  <w:num w:numId="4" w16cid:durableId="674379852">
    <w:abstractNumId w:val="3"/>
  </w:num>
  <w:num w:numId="5" w16cid:durableId="1489636395">
    <w:abstractNumId w:val="6"/>
  </w:num>
  <w:num w:numId="6" w16cid:durableId="2029747905">
    <w:abstractNumId w:val="0"/>
  </w:num>
  <w:num w:numId="7" w16cid:durableId="1287587116">
    <w:abstractNumId w:val="4"/>
  </w:num>
  <w:num w:numId="8" w16cid:durableId="17160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73"/>
    <w:rsid w:val="00005C85"/>
    <w:rsid w:val="0001055D"/>
    <w:rsid w:val="00011E69"/>
    <w:rsid w:val="00013FE5"/>
    <w:rsid w:val="00023B11"/>
    <w:rsid w:val="0002486B"/>
    <w:rsid w:val="000249C7"/>
    <w:rsid w:val="00030DEF"/>
    <w:rsid w:val="00031024"/>
    <w:rsid w:val="00035C49"/>
    <w:rsid w:val="00045E9E"/>
    <w:rsid w:val="00050843"/>
    <w:rsid w:val="000603C1"/>
    <w:rsid w:val="000624A3"/>
    <w:rsid w:val="000666A0"/>
    <w:rsid w:val="00067245"/>
    <w:rsid w:val="0007287E"/>
    <w:rsid w:val="0007566A"/>
    <w:rsid w:val="00076FBE"/>
    <w:rsid w:val="00081AAD"/>
    <w:rsid w:val="0008342C"/>
    <w:rsid w:val="0008539D"/>
    <w:rsid w:val="000859FC"/>
    <w:rsid w:val="00087E3A"/>
    <w:rsid w:val="00093F62"/>
    <w:rsid w:val="00097093"/>
    <w:rsid w:val="000A21F5"/>
    <w:rsid w:val="000A45D3"/>
    <w:rsid w:val="000B7098"/>
    <w:rsid w:val="000C4937"/>
    <w:rsid w:val="000E4D51"/>
    <w:rsid w:val="00100FF2"/>
    <w:rsid w:val="00101397"/>
    <w:rsid w:val="00102BC4"/>
    <w:rsid w:val="0010779C"/>
    <w:rsid w:val="001221A8"/>
    <w:rsid w:val="00124BA6"/>
    <w:rsid w:val="00132177"/>
    <w:rsid w:val="001434D8"/>
    <w:rsid w:val="00145887"/>
    <w:rsid w:val="001521E2"/>
    <w:rsid w:val="00154072"/>
    <w:rsid w:val="00155543"/>
    <w:rsid w:val="001655C6"/>
    <w:rsid w:val="0017457B"/>
    <w:rsid w:val="001771AD"/>
    <w:rsid w:val="00197AAD"/>
    <w:rsid w:val="001A0593"/>
    <w:rsid w:val="001A5EF4"/>
    <w:rsid w:val="001B0C32"/>
    <w:rsid w:val="001B17C3"/>
    <w:rsid w:val="001B7ED9"/>
    <w:rsid w:val="001C3B4E"/>
    <w:rsid w:val="001D7665"/>
    <w:rsid w:val="001E23CC"/>
    <w:rsid w:val="001E6048"/>
    <w:rsid w:val="00204FDB"/>
    <w:rsid w:val="0020790F"/>
    <w:rsid w:val="00211207"/>
    <w:rsid w:val="0021343E"/>
    <w:rsid w:val="00217ED5"/>
    <w:rsid w:val="00230AE9"/>
    <w:rsid w:val="0023188B"/>
    <w:rsid w:val="002426C4"/>
    <w:rsid w:val="002461A6"/>
    <w:rsid w:val="0024620D"/>
    <w:rsid w:val="0024659B"/>
    <w:rsid w:val="00247106"/>
    <w:rsid w:val="00257BDF"/>
    <w:rsid w:val="00291C7F"/>
    <w:rsid w:val="00291F8D"/>
    <w:rsid w:val="0029756F"/>
    <w:rsid w:val="002A0528"/>
    <w:rsid w:val="002A0C66"/>
    <w:rsid w:val="002A7B12"/>
    <w:rsid w:val="002C2C1C"/>
    <w:rsid w:val="002C666A"/>
    <w:rsid w:val="002D1183"/>
    <w:rsid w:val="002D11C2"/>
    <w:rsid w:val="002D3426"/>
    <w:rsid w:val="002D3EFC"/>
    <w:rsid w:val="002E31CF"/>
    <w:rsid w:val="002F6018"/>
    <w:rsid w:val="002F73F2"/>
    <w:rsid w:val="00304B44"/>
    <w:rsid w:val="00314DD4"/>
    <w:rsid w:val="003357D6"/>
    <w:rsid w:val="00335FA5"/>
    <w:rsid w:val="00342857"/>
    <w:rsid w:val="003645C0"/>
    <w:rsid w:val="003653EF"/>
    <w:rsid w:val="0038155D"/>
    <w:rsid w:val="003827A2"/>
    <w:rsid w:val="00386E54"/>
    <w:rsid w:val="00387612"/>
    <w:rsid w:val="00392D95"/>
    <w:rsid w:val="00396126"/>
    <w:rsid w:val="003A0281"/>
    <w:rsid w:val="003A151C"/>
    <w:rsid w:val="003A53DB"/>
    <w:rsid w:val="003A5A67"/>
    <w:rsid w:val="003B1CEE"/>
    <w:rsid w:val="003B1E35"/>
    <w:rsid w:val="003B3C67"/>
    <w:rsid w:val="003C044D"/>
    <w:rsid w:val="003C3FD3"/>
    <w:rsid w:val="003C4554"/>
    <w:rsid w:val="003D1A53"/>
    <w:rsid w:val="003E07D4"/>
    <w:rsid w:val="003E5C08"/>
    <w:rsid w:val="003F2772"/>
    <w:rsid w:val="003F772B"/>
    <w:rsid w:val="00400327"/>
    <w:rsid w:val="0040525F"/>
    <w:rsid w:val="00405670"/>
    <w:rsid w:val="00411DE7"/>
    <w:rsid w:val="00425301"/>
    <w:rsid w:val="004260CC"/>
    <w:rsid w:val="00433C93"/>
    <w:rsid w:val="004511C3"/>
    <w:rsid w:val="00452AD8"/>
    <w:rsid w:val="00454F22"/>
    <w:rsid w:val="004570D1"/>
    <w:rsid w:val="0046058D"/>
    <w:rsid w:val="00490631"/>
    <w:rsid w:val="00491DC2"/>
    <w:rsid w:val="00492F14"/>
    <w:rsid w:val="0049366F"/>
    <w:rsid w:val="004A255E"/>
    <w:rsid w:val="004A784D"/>
    <w:rsid w:val="004A7CB3"/>
    <w:rsid w:val="004B0F3D"/>
    <w:rsid w:val="004B1732"/>
    <w:rsid w:val="004B369B"/>
    <w:rsid w:val="004C1AD8"/>
    <w:rsid w:val="004C5E1B"/>
    <w:rsid w:val="004D3CCF"/>
    <w:rsid w:val="004F5F41"/>
    <w:rsid w:val="004F6588"/>
    <w:rsid w:val="004F7357"/>
    <w:rsid w:val="0050032D"/>
    <w:rsid w:val="005013D4"/>
    <w:rsid w:val="00503AC0"/>
    <w:rsid w:val="00504B2B"/>
    <w:rsid w:val="00530643"/>
    <w:rsid w:val="005326D3"/>
    <w:rsid w:val="00536885"/>
    <w:rsid w:val="00541BB1"/>
    <w:rsid w:val="00541CFC"/>
    <w:rsid w:val="00547ED8"/>
    <w:rsid w:val="00564A40"/>
    <w:rsid w:val="0058604B"/>
    <w:rsid w:val="00587FE7"/>
    <w:rsid w:val="005A5939"/>
    <w:rsid w:val="005A756C"/>
    <w:rsid w:val="005B1771"/>
    <w:rsid w:val="005B4B90"/>
    <w:rsid w:val="005B5E53"/>
    <w:rsid w:val="005B619A"/>
    <w:rsid w:val="005C2E60"/>
    <w:rsid w:val="005C39D4"/>
    <w:rsid w:val="005C6277"/>
    <w:rsid w:val="005E194F"/>
    <w:rsid w:val="005E5581"/>
    <w:rsid w:val="005E7B7C"/>
    <w:rsid w:val="00604559"/>
    <w:rsid w:val="00623EA3"/>
    <w:rsid w:val="006241F7"/>
    <w:rsid w:val="00640DF3"/>
    <w:rsid w:val="00641826"/>
    <w:rsid w:val="006427CA"/>
    <w:rsid w:val="0065529C"/>
    <w:rsid w:val="00663877"/>
    <w:rsid w:val="006665FE"/>
    <w:rsid w:val="0066785C"/>
    <w:rsid w:val="00667CF7"/>
    <w:rsid w:val="00674132"/>
    <w:rsid w:val="006778C1"/>
    <w:rsid w:val="00677D7E"/>
    <w:rsid w:val="00684596"/>
    <w:rsid w:val="006A4C5B"/>
    <w:rsid w:val="006C776E"/>
    <w:rsid w:val="006D19C8"/>
    <w:rsid w:val="006E1175"/>
    <w:rsid w:val="006E5A1A"/>
    <w:rsid w:val="006E689C"/>
    <w:rsid w:val="006E7992"/>
    <w:rsid w:val="00712356"/>
    <w:rsid w:val="0071718E"/>
    <w:rsid w:val="0072383A"/>
    <w:rsid w:val="007241F0"/>
    <w:rsid w:val="0073311E"/>
    <w:rsid w:val="00733F24"/>
    <w:rsid w:val="00737FC7"/>
    <w:rsid w:val="00747785"/>
    <w:rsid w:val="00750986"/>
    <w:rsid w:val="00771072"/>
    <w:rsid w:val="0077396A"/>
    <w:rsid w:val="007756B5"/>
    <w:rsid w:val="007845E9"/>
    <w:rsid w:val="0079147E"/>
    <w:rsid w:val="00792A1E"/>
    <w:rsid w:val="007A5CE4"/>
    <w:rsid w:val="007A60F3"/>
    <w:rsid w:val="007B160E"/>
    <w:rsid w:val="007C2DF4"/>
    <w:rsid w:val="007C5FEC"/>
    <w:rsid w:val="007D15FC"/>
    <w:rsid w:val="007F3087"/>
    <w:rsid w:val="00814086"/>
    <w:rsid w:val="008217DD"/>
    <w:rsid w:val="00826464"/>
    <w:rsid w:val="00843DF3"/>
    <w:rsid w:val="00847238"/>
    <w:rsid w:val="0085129E"/>
    <w:rsid w:val="00852D7E"/>
    <w:rsid w:val="008679B4"/>
    <w:rsid w:val="00867E62"/>
    <w:rsid w:val="00870781"/>
    <w:rsid w:val="008849AE"/>
    <w:rsid w:val="008923CC"/>
    <w:rsid w:val="008A0325"/>
    <w:rsid w:val="008A640B"/>
    <w:rsid w:val="008B23BB"/>
    <w:rsid w:val="008C4539"/>
    <w:rsid w:val="008E04CC"/>
    <w:rsid w:val="008E5E58"/>
    <w:rsid w:val="008E691C"/>
    <w:rsid w:val="00916C94"/>
    <w:rsid w:val="009267DE"/>
    <w:rsid w:val="00930BF6"/>
    <w:rsid w:val="009326D9"/>
    <w:rsid w:val="0093293F"/>
    <w:rsid w:val="009368B9"/>
    <w:rsid w:val="009400D9"/>
    <w:rsid w:val="00941214"/>
    <w:rsid w:val="00943F3C"/>
    <w:rsid w:val="0094729B"/>
    <w:rsid w:val="0095285D"/>
    <w:rsid w:val="00960ABA"/>
    <w:rsid w:val="00963D86"/>
    <w:rsid w:val="00963E22"/>
    <w:rsid w:val="00964268"/>
    <w:rsid w:val="00965EF1"/>
    <w:rsid w:val="009666C9"/>
    <w:rsid w:val="00967DDF"/>
    <w:rsid w:val="00974F48"/>
    <w:rsid w:val="0098089E"/>
    <w:rsid w:val="00981E86"/>
    <w:rsid w:val="009833E2"/>
    <w:rsid w:val="0098602D"/>
    <w:rsid w:val="0099109D"/>
    <w:rsid w:val="00992155"/>
    <w:rsid w:val="00992201"/>
    <w:rsid w:val="00996C7A"/>
    <w:rsid w:val="009A2051"/>
    <w:rsid w:val="009A44CC"/>
    <w:rsid w:val="009A4C27"/>
    <w:rsid w:val="009D04A3"/>
    <w:rsid w:val="009F2C25"/>
    <w:rsid w:val="009F582E"/>
    <w:rsid w:val="00A057DE"/>
    <w:rsid w:val="00A06411"/>
    <w:rsid w:val="00A06C8C"/>
    <w:rsid w:val="00A17374"/>
    <w:rsid w:val="00A211A9"/>
    <w:rsid w:val="00A2126B"/>
    <w:rsid w:val="00A26215"/>
    <w:rsid w:val="00A263E4"/>
    <w:rsid w:val="00A26928"/>
    <w:rsid w:val="00A26D29"/>
    <w:rsid w:val="00A27B68"/>
    <w:rsid w:val="00A54B9E"/>
    <w:rsid w:val="00A60DF0"/>
    <w:rsid w:val="00A61370"/>
    <w:rsid w:val="00A61C0D"/>
    <w:rsid w:val="00A71F2D"/>
    <w:rsid w:val="00A72A75"/>
    <w:rsid w:val="00A811B4"/>
    <w:rsid w:val="00A81C82"/>
    <w:rsid w:val="00A946DC"/>
    <w:rsid w:val="00A96A9B"/>
    <w:rsid w:val="00AA0CAA"/>
    <w:rsid w:val="00AA123F"/>
    <w:rsid w:val="00AC046B"/>
    <w:rsid w:val="00AD2041"/>
    <w:rsid w:val="00AD33A2"/>
    <w:rsid w:val="00AD73B5"/>
    <w:rsid w:val="00AE1310"/>
    <w:rsid w:val="00B003F5"/>
    <w:rsid w:val="00B052F0"/>
    <w:rsid w:val="00B14CF6"/>
    <w:rsid w:val="00B23767"/>
    <w:rsid w:val="00B2664F"/>
    <w:rsid w:val="00B27A09"/>
    <w:rsid w:val="00B3420A"/>
    <w:rsid w:val="00B36FA4"/>
    <w:rsid w:val="00B4215B"/>
    <w:rsid w:val="00B4383B"/>
    <w:rsid w:val="00B467F3"/>
    <w:rsid w:val="00B474F2"/>
    <w:rsid w:val="00B57FB6"/>
    <w:rsid w:val="00B67B04"/>
    <w:rsid w:val="00B80B48"/>
    <w:rsid w:val="00B904E7"/>
    <w:rsid w:val="00B93217"/>
    <w:rsid w:val="00B96E02"/>
    <w:rsid w:val="00BA4955"/>
    <w:rsid w:val="00BA566D"/>
    <w:rsid w:val="00BA6A30"/>
    <w:rsid w:val="00BA7035"/>
    <w:rsid w:val="00BB12D3"/>
    <w:rsid w:val="00BB23C1"/>
    <w:rsid w:val="00BC0E11"/>
    <w:rsid w:val="00BC5D09"/>
    <w:rsid w:val="00BD19E0"/>
    <w:rsid w:val="00BD7E8B"/>
    <w:rsid w:val="00BE1E97"/>
    <w:rsid w:val="00BE2913"/>
    <w:rsid w:val="00BE37EF"/>
    <w:rsid w:val="00BE3A1A"/>
    <w:rsid w:val="00BE6AEB"/>
    <w:rsid w:val="00BE7817"/>
    <w:rsid w:val="00BF235E"/>
    <w:rsid w:val="00BF3BBD"/>
    <w:rsid w:val="00C20892"/>
    <w:rsid w:val="00C2393A"/>
    <w:rsid w:val="00C25577"/>
    <w:rsid w:val="00C27B55"/>
    <w:rsid w:val="00C35349"/>
    <w:rsid w:val="00C35679"/>
    <w:rsid w:val="00C4109B"/>
    <w:rsid w:val="00C455A1"/>
    <w:rsid w:val="00C456AE"/>
    <w:rsid w:val="00C47F4B"/>
    <w:rsid w:val="00C51840"/>
    <w:rsid w:val="00C568E6"/>
    <w:rsid w:val="00C56E62"/>
    <w:rsid w:val="00C622FB"/>
    <w:rsid w:val="00C72D52"/>
    <w:rsid w:val="00C76E02"/>
    <w:rsid w:val="00C77773"/>
    <w:rsid w:val="00C80118"/>
    <w:rsid w:val="00C83B40"/>
    <w:rsid w:val="00C96C3C"/>
    <w:rsid w:val="00CB5E82"/>
    <w:rsid w:val="00CC3C77"/>
    <w:rsid w:val="00CC77E2"/>
    <w:rsid w:val="00CE0AEB"/>
    <w:rsid w:val="00CF3318"/>
    <w:rsid w:val="00CF4BFD"/>
    <w:rsid w:val="00CF7160"/>
    <w:rsid w:val="00D13A85"/>
    <w:rsid w:val="00D1478E"/>
    <w:rsid w:val="00D173BF"/>
    <w:rsid w:val="00D222EE"/>
    <w:rsid w:val="00D239EF"/>
    <w:rsid w:val="00D331CD"/>
    <w:rsid w:val="00D607C7"/>
    <w:rsid w:val="00D622C3"/>
    <w:rsid w:val="00D675C2"/>
    <w:rsid w:val="00D742E2"/>
    <w:rsid w:val="00D85F75"/>
    <w:rsid w:val="00D978AE"/>
    <w:rsid w:val="00DA042F"/>
    <w:rsid w:val="00DA3364"/>
    <w:rsid w:val="00DA5778"/>
    <w:rsid w:val="00DA6D32"/>
    <w:rsid w:val="00DB4266"/>
    <w:rsid w:val="00DC54F9"/>
    <w:rsid w:val="00DC5841"/>
    <w:rsid w:val="00DC6676"/>
    <w:rsid w:val="00E149A6"/>
    <w:rsid w:val="00E22B9C"/>
    <w:rsid w:val="00E31BA4"/>
    <w:rsid w:val="00E32BC6"/>
    <w:rsid w:val="00E3489F"/>
    <w:rsid w:val="00E5101E"/>
    <w:rsid w:val="00E569E6"/>
    <w:rsid w:val="00E5782B"/>
    <w:rsid w:val="00E63951"/>
    <w:rsid w:val="00E641A8"/>
    <w:rsid w:val="00E90FC1"/>
    <w:rsid w:val="00E93343"/>
    <w:rsid w:val="00EA5862"/>
    <w:rsid w:val="00EB7D8E"/>
    <w:rsid w:val="00EC16BE"/>
    <w:rsid w:val="00EC2C28"/>
    <w:rsid w:val="00EC3454"/>
    <w:rsid w:val="00ED6994"/>
    <w:rsid w:val="00EE658F"/>
    <w:rsid w:val="00EE7F60"/>
    <w:rsid w:val="00F00C81"/>
    <w:rsid w:val="00F033C0"/>
    <w:rsid w:val="00F05704"/>
    <w:rsid w:val="00F11EA3"/>
    <w:rsid w:val="00F14072"/>
    <w:rsid w:val="00F158EB"/>
    <w:rsid w:val="00F244B8"/>
    <w:rsid w:val="00F35B67"/>
    <w:rsid w:val="00F407FD"/>
    <w:rsid w:val="00F459EC"/>
    <w:rsid w:val="00F4643E"/>
    <w:rsid w:val="00F50165"/>
    <w:rsid w:val="00F53464"/>
    <w:rsid w:val="00F61C75"/>
    <w:rsid w:val="00F836D8"/>
    <w:rsid w:val="00F84855"/>
    <w:rsid w:val="00FA1565"/>
    <w:rsid w:val="00FA2BCB"/>
    <w:rsid w:val="00FB2512"/>
    <w:rsid w:val="00FC3F5A"/>
    <w:rsid w:val="00FC476D"/>
    <w:rsid w:val="00FC4FA7"/>
    <w:rsid w:val="00FD4554"/>
    <w:rsid w:val="00FE2E78"/>
    <w:rsid w:val="00FE486B"/>
    <w:rsid w:val="00FE6DB0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83FC"/>
  <w15:docId w15:val="{857B85B2-CA8E-4378-A93B-05DD675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color w:val="000000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F5A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3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F5A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F73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BC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32BC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BC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C6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F11E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4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tonhousing.co.uk/about-us/our-developments/lunts-heath-ri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media/60df2d0de90e0771784b991f/Current_allocation_of_accommodation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0BE3-BCF5-43A8-8B40-145D70E5DA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b01eff-2220-4273-b5cb-41ff8c6e689e}" enabled="0" method="" siteId="{56b01eff-2220-4273-b5cb-41ff8c6e6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Housing Trust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Mccue</dc:creator>
  <cp:lastModifiedBy>Daz Morland</cp:lastModifiedBy>
  <cp:revision>39</cp:revision>
  <dcterms:created xsi:type="dcterms:W3CDTF">2025-03-31T07:45:00Z</dcterms:created>
  <dcterms:modified xsi:type="dcterms:W3CDTF">2025-05-16T08:51:00Z</dcterms:modified>
</cp:coreProperties>
</file>