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color w:val="FFFFFF" w:themeColor="background1"/>
        </w:rPr>
        <w:id w:val="-1277557733"/>
        <w:docPartObj>
          <w:docPartGallery w:val="Cover Pages"/>
          <w:docPartUnique/>
        </w:docPartObj>
      </w:sdtPr>
      <w:sdtEndPr>
        <w:rPr>
          <w:color w:val="auto"/>
        </w:rPr>
      </w:sdtEndPr>
      <w:sdtContent>
        <w:p w14:paraId="6747F2AE" w14:textId="53732558" w:rsidR="002327FB" w:rsidRPr="00494768" w:rsidRDefault="000271C7" w:rsidP="0077350C">
          <w:pPr>
            <w:rPr>
              <w:rStyle w:val="Heading1Char"/>
              <w:rFonts w:ascii="Arial" w:hAnsi="Arial" w:cs="Arial"/>
              <w:color w:val="FFFFFF" w:themeColor="background1"/>
              <w:sz w:val="24"/>
              <w:szCs w:val="24"/>
            </w:rPr>
          </w:pPr>
          <w:r w:rsidRPr="00494768">
            <w:rPr>
              <w:rFonts w:ascii="Arial" w:hAnsi="Arial" w:cs="Arial"/>
              <w:noProof/>
            </w:rPr>
            <w:drawing>
              <wp:anchor distT="0" distB="0" distL="114300" distR="114300" simplePos="0" relativeHeight="251660288" behindDoc="1" locked="0" layoutInCell="1" allowOverlap="1" wp14:anchorId="1CE5894F" wp14:editId="5FC17297">
                <wp:simplePos x="0" y="0"/>
                <wp:positionH relativeFrom="column">
                  <wp:posOffset>4874895</wp:posOffset>
                </wp:positionH>
                <wp:positionV relativeFrom="paragraph">
                  <wp:posOffset>140335</wp:posOffset>
                </wp:positionV>
                <wp:extent cx="1508400" cy="244800"/>
                <wp:effectExtent l="0" t="0" r="3175" b="0"/>
                <wp:wrapNone/>
                <wp:docPr id="1875540741" name="Picture 1875540741"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Sefton Council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8400" cy="244800"/>
                        </a:xfrm>
                        <a:prstGeom prst="rect">
                          <a:avLst/>
                        </a:prstGeom>
                      </pic:spPr>
                    </pic:pic>
                  </a:graphicData>
                </a:graphic>
                <wp14:sizeRelH relativeFrom="margin">
                  <wp14:pctWidth>0</wp14:pctWidth>
                </wp14:sizeRelH>
                <wp14:sizeRelV relativeFrom="margin">
                  <wp14:pctHeight>0</wp14:pctHeight>
                </wp14:sizeRelV>
              </wp:anchor>
            </w:drawing>
          </w:r>
          <w:r w:rsidR="00294D4F" w:rsidRPr="00494768">
            <w:rPr>
              <w:rFonts w:ascii="Arial" w:eastAsiaTheme="majorEastAsia" w:hAnsi="Arial" w:cs="Arial"/>
              <w:b/>
              <w:noProof/>
              <w:color w:val="0078A9" w:themeColor="accent1"/>
            </w:rPr>
            <mc:AlternateContent>
              <mc:Choice Requires="wps">
                <w:drawing>
                  <wp:anchor distT="0" distB="0" distL="114300" distR="114300" simplePos="0" relativeHeight="251659264" behindDoc="1" locked="0" layoutInCell="1" allowOverlap="1" wp14:anchorId="586BE10E" wp14:editId="674351A0">
                    <wp:simplePos x="0" y="0"/>
                    <wp:positionH relativeFrom="column">
                      <wp:posOffset>0</wp:posOffset>
                    </wp:positionH>
                    <wp:positionV relativeFrom="paragraph">
                      <wp:posOffset>-178435</wp:posOffset>
                    </wp:positionV>
                    <wp:extent cx="6642100" cy="850900"/>
                    <wp:effectExtent l="0" t="0" r="0" b="0"/>
                    <wp:wrapNone/>
                    <wp:docPr id="419156417" name="Rectangle 1"/>
                    <wp:cNvGraphicFramePr/>
                    <a:graphic xmlns:a="http://schemas.openxmlformats.org/drawingml/2006/main">
                      <a:graphicData uri="http://schemas.microsoft.com/office/word/2010/wordprocessingShape">
                        <wps:wsp>
                          <wps:cNvSpPr/>
                          <wps:spPr>
                            <a:xfrm>
                              <a:off x="0" y="0"/>
                              <a:ext cx="6642100" cy="8509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F6CFF70" w14:textId="492BA183" w:rsidR="00294D4F" w:rsidRDefault="00294D4F" w:rsidP="00294D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BE10E" id="Rectangle 1" o:spid="_x0000_s1026" style="position:absolute;margin-left:0;margin-top:-14.05pt;width:523pt;height: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" fillcolor="#0078a9 [3204]" stroked="f" strokeweight="1pt">
                    <v:textbox>
                      <w:txbxContent>
                        <w:p w14:paraId="6F6CFF70" w14:textId="492BA183" w:rsidR="00294D4F" w:rsidRDefault="00294D4F" w:rsidP="00294D4F">
                          <w:pPr>
                            <w:jc w:val="center"/>
                          </w:pPr>
                        </w:p>
                      </w:txbxContent>
                    </v:textbox>
                  </v:rect>
                </w:pict>
              </mc:Fallback>
            </mc:AlternateContent>
          </w:r>
          <w:r w:rsidR="000F17DA">
            <w:rPr>
              <w:rFonts w:ascii="Arial" w:hAnsi="Arial" w:cs="Arial"/>
              <w:color w:val="FFFFFF" w:themeColor="background1"/>
            </w:rPr>
            <w:tab/>
          </w:r>
          <w:r w:rsidR="002D675D">
            <w:rPr>
              <w:rFonts w:ascii="Arial" w:hAnsi="Arial" w:cs="Arial"/>
              <w:color w:val="FFFFFF" w:themeColor="background1"/>
            </w:rPr>
            <w:t>Cabinet Member Decision</w:t>
          </w:r>
        </w:p>
        <w:p w14:paraId="75F44B51" w14:textId="3E67D728" w:rsidR="0049546F" w:rsidRPr="00494768" w:rsidRDefault="0049546F" w:rsidP="0049546F">
          <w:pPr>
            <w:pStyle w:val="Heading4"/>
            <w:rPr>
              <w:rFonts w:ascii="Arial" w:hAnsi="Arial" w:cs="Arial"/>
              <w:sz w:val="24"/>
              <w:szCs w:val="24"/>
            </w:rPr>
          </w:pPr>
        </w:p>
        <w:tbl>
          <w:tblPr>
            <w:tblStyle w:val="TableGrid"/>
            <w:tblW w:w="10490" w:type="dxa"/>
            <w:tblLook w:val="04A0" w:firstRow="1" w:lastRow="0" w:firstColumn="1" w:lastColumn="0" w:noHBand="0" w:noVBand="1"/>
            <w:tblCaption w:val="Table Title"/>
            <w:tblDescription w:val="Type a description of the table contents here"/>
          </w:tblPr>
          <w:tblGrid>
            <w:gridCol w:w="2410"/>
            <w:gridCol w:w="4040"/>
            <w:gridCol w:w="4040"/>
          </w:tblGrid>
          <w:tr w:rsidR="0049546F" w:rsidRPr="00494768" w14:paraId="35D6AA8E" w14:textId="77777777" w:rsidTr="00882752">
            <w:trPr>
              <w:trHeight w:val="458"/>
            </w:trPr>
            <w:tc>
              <w:tcPr>
                <w:tcW w:w="2410" w:type="dxa"/>
                <w:tcBorders>
                  <w:top w:val="nil"/>
                  <w:left w:val="nil"/>
                  <w:bottom w:val="nil"/>
                  <w:right w:val="nil"/>
                </w:tcBorders>
                <w:shd w:val="clear" w:color="auto" w:fill="0078A9" w:themeFill="accent1"/>
                <w:tcMar>
                  <w:top w:w="113" w:type="dxa"/>
                  <w:left w:w="113" w:type="dxa"/>
                  <w:bottom w:w="113" w:type="dxa"/>
                  <w:right w:w="113" w:type="dxa"/>
                </w:tcMar>
                <w:vAlign w:val="center"/>
              </w:tcPr>
              <w:p w14:paraId="37FA694C" w14:textId="3203ED62" w:rsidR="0049546F" w:rsidRPr="00494768" w:rsidRDefault="001A3952" w:rsidP="002E7F48">
                <w:pPr>
                  <w:spacing w:after="0"/>
                  <w:rPr>
                    <w:rFonts w:cs="Arial"/>
                    <w:b/>
                    <w:bCs/>
                    <w:color w:val="FFFFFF" w:themeColor="background1"/>
                    <w:sz w:val="24"/>
                    <w:szCs w:val="24"/>
                  </w:rPr>
                </w:pPr>
                <w:r w:rsidRPr="00494768">
                  <w:rPr>
                    <w:rFonts w:cs="Arial"/>
                    <w:b/>
                    <w:bCs/>
                    <w:color w:val="FFFFFF" w:themeColor="background1"/>
                    <w:sz w:val="24"/>
                    <w:szCs w:val="24"/>
                  </w:rPr>
                  <w:t>Report Title</w:t>
                </w:r>
                <w:r w:rsidR="00294D4F" w:rsidRPr="00494768">
                  <w:rPr>
                    <w:rFonts w:cs="Arial"/>
                    <w:b/>
                    <w:bCs/>
                    <w:color w:val="FFFFFF" w:themeColor="background1"/>
                    <w:sz w:val="24"/>
                    <w:szCs w:val="24"/>
                  </w:rPr>
                  <w:t xml:space="preserve"> Here</w:t>
                </w:r>
              </w:p>
            </w:tc>
            <w:tc>
              <w:tcPr>
                <w:tcW w:w="8080" w:type="dxa"/>
                <w:gridSpan w:val="2"/>
                <w:tcBorders>
                  <w:top w:val="nil"/>
                  <w:left w:val="nil"/>
                  <w:bottom w:val="nil"/>
                  <w:right w:val="nil"/>
                </w:tcBorders>
                <w:shd w:val="clear" w:color="auto" w:fill="0078A9" w:themeFill="accent1"/>
                <w:tcMar>
                  <w:top w:w="113" w:type="dxa"/>
                  <w:left w:w="113" w:type="dxa"/>
                  <w:bottom w:w="113" w:type="dxa"/>
                  <w:right w:w="113" w:type="dxa"/>
                </w:tcMar>
                <w:vAlign w:val="center"/>
              </w:tcPr>
              <w:p w14:paraId="1CA660A7" w14:textId="246BA4CA" w:rsidR="0049546F" w:rsidRPr="00494768" w:rsidRDefault="000663E3" w:rsidP="00F90FD0">
                <w:pPr>
                  <w:spacing w:after="0"/>
                  <w:jc w:val="center"/>
                  <w:rPr>
                    <w:rFonts w:cs="Arial"/>
                    <w:color w:val="FFFFFF" w:themeColor="background1"/>
                    <w:sz w:val="24"/>
                    <w:szCs w:val="24"/>
                    <w:lang w:val="en"/>
                  </w:rPr>
                </w:pPr>
                <w:r w:rsidRPr="000663E3">
                  <w:rPr>
                    <w:rFonts w:cs="Arial"/>
                    <w:color w:val="FFFFFF" w:themeColor="background1"/>
                    <w:sz w:val="24"/>
                    <w:szCs w:val="24"/>
                    <w:lang w:val="en"/>
                  </w:rPr>
                  <w:t xml:space="preserve">Local Lettings Plan Request </w:t>
                </w:r>
                <w:r w:rsidR="00A90126">
                  <w:rPr>
                    <w:rFonts w:cs="Arial"/>
                    <w:color w:val="FFFFFF" w:themeColor="background1"/>
                    <w:sz w:val="24"/>
                    <w:szCs w:val="24"/>
                    <w:lang w:val="en"/>
                  </w:rPr>
                  <w:t>Morris Meadows, Netherton</w:t>
                </w:r>
              </w:p>
            </w:tc>
          </w:tr>
          <w:tr w:rsidR="0049546F" w:rsidRPr="00494768" w14:paraId="2692C2BB" w14:textId="77777777" w:rsidTr="00294D4F">
            <w:tc>
              <w:tcPr>
                <w:tcW w:w="2410" w:type="dxa"/>
                <w:tcBorders>
                  <w:top w:val="nil"/>
                </w:tcBorders>
                <w:tcMar>
                  <w:top w:w="113" w:type="dxa"/>
                  <w:left w:w="113" w:type="dxa"/>
                  <w:bottom w:w="113" w:type="dxa"/>
                  <w:right w:w="113" w:type="dxa"/>
                </w:tcMar>
                <w:vAlign w:val="center"/>
              </w:tcPr>
              <w:p w14:paraId="0759D2CB" w14:textId="2F673775" w:rsidR="0049546F" w:rsidRPr="001D4A09" w:rsidRDefault="001A3952" w:rsidP="001A3952">
                <w:pPr>
                  <w:spacing w:after="0"/>
                  <w:rPr>
                    <w:rFonts w:cs="Arial"/>
                    <w:sz w:val="24"/>
                    <w:szCs w:val="24"/>
                    <w:lang w:val="en"/>
                  </w:rPr>
                </w:pPr>
                <w:r w:rsidRPr="001D4A09">
                  <w:rPr>
                    <w:rFonts w:cs="Arial"/>
                    <w:sz w:val="24"/>
                    <w:szCs w:val="24"/>
                    <w:lang w:val="en"/>
                  </w:rPr>
                  <w:t xml:space="preserve">Date of </w:t>
                </w:r>
                <w:r w:rsidR="001D4A09" w:rsidRPr="001D4A09">
                  <w:rPr>
                    <w:rFonts w:cs="Arial"/>
                    <w:sz w:val="24"/>
                    <w:szCs w:val="24"/>
                    <w:lang w:val="en"/>
                  </w:rPr>
                  <w:t>Issue</w:t>
                </w:r>
                <w:r w:rsidRPr="001D4A09">
                  <w:rPr>
                    <w:rFonts w:cs="Arial"/>
                    <w:sz w:val="24"/>
                    <w:szCs w:val="24"/>
                    <w:lang w:val="en"/>
                  </w:rPr>
                  <w:t>:</w:t>
                </w:r>
              </w:p>
            </w:tc>
            <w:tc>
              <w:tcPr>
                <w:tcW w:w="8080" w:type="dxa"/>
                <w:gridSpan w:val="2"/>
                <w:tcBorders>
                  <w:top w:val="nil"/>
                </w:tcBorders>
                <w:tcMar>
                  <w:top w:w="113" w:type="dxa"/>
                  <w:left w:w="113" w:type="dxa"/>
                  <w:bottom w:w="113" w:type="dxa"/>
                  <w:right w:w="113" w:type="dxa"/>
                </w:tcMar>
                <w:vAlign w:val="center"/>
              </w:tcPr>
              <w:p w14:paraId="1BF87AFB" w14:textId="4148BDF4" w:rsidR="0049546F" w:rsidRPr="00494768" w:rsidRDefault="000663E3" w:rsidP="00F90FD0">
                <w:pPr>
                  <w:spacing w:after="0"/>
                  <w:rPr>
                    <w:rFonts w:cs="Arial"/>
                    <w:sz w:val="24"/>
                    <w:szCs w:val="24"/>
                    <w:lang w:val="en"/>
                  </w:rPr>
                </w:pPr>
                <w:r>
                  <w:rPr>
                    <w:rFonts w:cs="Arial"/>
                    <w:sz w:val="24"/>
                    <w:szCs w:val="24"/>
                    <w:lang w:val="en"/>
                  </w:rPr>
                  <w:t>September 2024</w:t>
                </w:r>
              </w:p>
            </w:tc>
          </w:tr>
          <w:tr w:rsidR="001D4A09" w:rsidRPr="00494768" w14:paraId="0C4345E7" w14:textId="77777777" w:rsidTr="00294D4F">
            <w:tc>
              <w:tcPr>
                <w:tcW w:w="2410" w:type="dxa"/>
                <w:tcBorders>
                  <w:top w:val="nil"/>
                </w:tcBorders>
                <w:tcMar>
                  <w:top w:w="113" w:type="dxa"/>
                  <w:left w:w="113" w:type="dxa"/>
                  <w:bottom w:w="113" w:type="dxa"/>
                  <w:right w:w="113" w:type="dxa"/>
                </w:tcMar>
                <w:vAlign w:val="center"/>
              </w:tcPr>
              <w:p w14:paraId="3690BD59" w14:textId="68BA1427" w:rsidR="001D4A09" w:rsidRPr="001D4A09" w:rsidRDefault="001D4A09" w:rsidP="001A3952">
                <w:pPr>
                  <w:spacing w:after="0"/>
                  <w:rPr>
                    <w:rFonts w:cs="Arial"/>
                    <w:sz w:val="24"/>
                    <w:szCs w:val="24"/>
                    <w:lang w:val="en"/>
                  </w:rPr>
                </w:pPr>
                <w:r w:rsidRPr="001D4A09">
                  <w:rPr>
                    <w:rFonts w:cs="Arial"/>
                    <w:sz w:val="24"/>
                    <w:szCs w:val="24"/>
                    <w:lang w:val="en"/>
                  </w:rPr>
                  <w:t>Date of Decision:</w:t>
                </w:r>
              </w:p>
            </w:tc>
            <w:tc>
              <w:tcPr>
                <w:tcW w:w="8080" w:type="dxa"/>
                <w:gridSpan w:val="2"/>
                <w:tcBorders>
                  <w:top w:val="nil"/>
                </w:tcBorders>
                <w:tcMar>
                  <w:top w:w="113" w:type="dxa"/>
                  <w:left w:w="113" w:type="dxa"/>
                  <w:bottom w:w="113" w:type="dxa"/>
                  <w:right w:w="113" w:type="dxa"/>
                </w:tcMar>
                <w:vAlign w:val="center"/>
              </w:tcPr>
              <w:p w14:paraId="69BCD4F9" w14:textId="77777777" w:rsidR="001D4A09" w:rsidRPr="00494768" w:rsidRDefault="001D4A09" w:rsidP="00F90FD0">
                <w:pPr>
                  <w:spacing w:after="0"/>
                  <w:rPr>
                    <w:rFonts w:cs="Arial"/>
                    <w:lang w:val="en"/>
                  </w:rPr>
                </w:pPr>
              </w:p>
            </w:tc>
          </w:tr>
          <w:tr w:rsidR="0049546F" w:rsidRPr="00494768" w14:paraId="26FF87B0" w14:textId="77777777" w:rsidTr="00294D4F">
            <w:tc>
              <w:tcPr>
                <w:tcW w:w="2410" w:type="dxa"/>
                <w:tcMar>
                  <w:top w:w="113" w:type="dxa"/>
                  <w:left w:w="113" w:type="dxa"/>
                  <w:bottom w:w="113" w:type="dxa"/>
                  <w:right w:w="113" w:type="dxa"/>
                </w:tcMar>
                <w:vAlign w:val="center"/>
              </w:tcPr>
              <w:p w14:paraId="674547B6" w14:textId="1270E666" w:rsidR="0049546F" w:rsidRPr="00494768" w:rsidRDefault="008B38C0" w:rsidP="00F90FD0">
                <w:pPr>
                  <w:spacing w:after="0"/>
                  <w:rPr>
                    <w:rFonts w:cs="Arial"/>
                    <w:sz w:val="24"/>
                    <w:szCs w:val="24"/>
                    <w:lang w:val="en"/>
                  </w:rPr>
                </w:pPr>
                <w:r w:rsidRPr="00494768">
                  <w:rPr>
                    <w:rFonts w:eastAsia="Times New Roman" w:cs="Arial"/>
                    <w:sz w:val="24"/>
                    <w:szCs w:val="24"/>
                    <w:lang w:val="en"/>
                  </w:rPr>
                  <w:t>Report to</w:t>
                </w:r>
                <w:r w:rsidR="001A3952" w:rsidRPr="00494768">
                  <w:rPr>
                    <w:rFonts w:eastAsia="Times New Roman" w:cs="Arial"/>
                    <w:sz w:val="24"/>
                    <w:szCs w:val="24"/>
                    <w:lang w:val="en"/>
                  </w:rPr>
                  <w:t>:</w:t>
                </w:r>
              </w:p>
            </w:tc>
            <w:tc>
              <w:tcPr>
                <w:tcW w:w="8080" w:type="dxa"/>
                <w:gridSpan w:val="2"/>
                <w:tcMar>
                  <w:top w:w="113" w:type="dxa"/>
                  <w:left w:w="113" w:type="dxa"/>
                  <w:bottom w:w="113" w:type="dxa"/>
                  <w:right w:w="113" w:type="dxa"/>
                </w:tcMar>
                <w:vAlign w:val="center"/>
              </w:tcPr>
              <w:p w14:paraId="67DD11C4" w14:textId="126E7F87" w:rsidR="0049546F" w:rsidRPr="0023248A" w:rsidRDefault="0023248A" w:rsidP="0023248A">
                <w:pPr>
                  <w:rPr>
                    <w:rFonts w:cs="Arial"/>
                    <w:bCs/>
                  </w:rPr>
                </w:pPr>
                <w:r w:rsidRPr="009D183C">
                  <w:rPr>
                    <w:rFonts w:cs="Arial"/>
                    <w:bCs/>
                  </w:rPr>
                  <w:t>Cabinet Member Housing</w:t>
                </w:r>
                <w:r>
                  <w:rPr>
                    <w:rFonts w:cs="Arial"/>
                    <w:bCs/>
                  </w:rPr>
                  <w:t xml:space="preserve"> &amp; Highways</w:t>
                </w:r>
              </w:p>
            </w:tc>
          </w:tr>
          <w:tr w:rsidR="0049546F" w:rsidRPr="00494768" w14:paraId="24C8F4AC" w14:textId="77777777" w:rsidTr="00294D4F">
            <w:tc>
              <w:tcPr>
                <w:tcW w:w="2410" w:type="dxa"/>
                <w:tcMar>
                  <w:top w:w="113" w:type="dxa"/>
                  <w:left w:w="113" w:type="dxa"/>
                  <w:bottom w:w="113" w:type="dxa"/>
                  <w:right w:w="113" w:type="dxa"/>
                </w:tcMar>
                <w:vAlign w:val="center"/>
              </w:tcPr>
              <w:p w14:paraId="27DEC75C" w14:textId="03092F86" w:rsidR="0049546F" w:rsidRPr="00494768" w:rsidRDefault="001A3952" w:rsidP="00F90FD0">
                <w:pPr>
                  <w:spacing w:after="0"/>
                  <w:rPr>
                    <w:rFonts w:cs="Arial"/>
                    <w:sz w:val="24"/>
                    <w:szCs w:val="24"/>
                    <w:lang w:val="en"/>
                  </w:rPr>
                </w:pPr>
                <w:r w:rsidRPr="00494768">
                  <w:rPr>
                    <w:rFonts w:eastAsia="Times New Roman" w:cs="Arial"/>
                    <w:sz w:val="24"/>
                    <w:szCs w:val="24"/>
                    <w:lang w:val="en"/>
                  </w:rPr>
                  <w:t>Report of:</w:t>
                </w:r>
              </w:p>
            </w:tc>
            <w:tc>
              <w:tcPr>
                <w:tcW w:w="8080" w:type="dxa"/>
                <w:gridSpan w:val="2"/>
                <w:tcMar>
                  <w:top w:w="113" w:type="dxa"/>
                  <w:left w:w="113" w:type="dxa"/>
                  <w:bottom w:w="113" w:type="dxa"/>
                  <w:right w:w="113" w:type="dxa"/>
                </w:tcMar>
                <w:vAlign w:val="center"/>
              </w:tcPr>
              <w:p w14:paraId="2892DA2F" w14:textId="01D30635" w:rsidR="0049546F" w:rsidRPr="00EF0C87" w:rsidRDefault="00EF0C87" w:rsidP="00EF0C87">
                <w:pPr>
                  <w:rPr>
                    <w:rFonts w:cs="Arial"/>
                    <w:bCs/>
                  </w:rPr>
                </w:pPr>
                <w:r>
                  <w:rPr>
                    <w:rFonts w:cs="Arial"/>
                    <w:bCs/>
                  </w:rPr>
                  <w:t>Assistant Director of Place (Economic Growth &amp; Housing)</w:t>
                </w:r>
              </w:p>
            </w:tc>
          </w:tr>
          <w:tr w:rsidR="0049546F" w:rsidRPr="00494768" w14:paraId="1FA45182" w14:textId="77777777" w:rsidTr="00294D4F">
            <w:tc>
              <w:tcPr>
                <w:tcW w:w="2410" w:type="dxa"/>
                <w:tcMar>
                  <w:top w:w="113" w:type="dxa"/>
                  <w:left w:w="113" w:type="dxa"/>
                  <w:bottom w:w="113" w:type="dxa"/>
                  <w:right w:w="113" w:type="dxa"/>
                </w:tcMar>
                <w:vAlign w:val="center"/>
              </w:tcPr>
              <w:p w14:paraId="4C5F3BC8" w14:textId="2165D868" w:rsidR="0049546F" w:rsidRPr="00494768" w:rsidRDefault="001A3952" w:rsidP="00F90FD0">
                <w:pPr>
                  <w:spacing w:after="0"/>
                  <w:rPr>
                    <w:rFonts w:cs="Arial"/>
                    <w:sz w:val="24"/>
                    <w:szCs w:val="24"/>
                    <w:lang w:val="en"/>
                  </w:rPr>
                </w:pPr>
                <w:r w:rsidRPr="00494768">
                  <w:rPr>
                    <w:rFonts w:eastAsia="Times New Roman" w:cs="Arial"/>
                    <w:sz w:val="24"/>
                    <w:szCs w:val="24"/>
                    <w:lang w:val="en"/>
                  </w:rPr>
                  <w:t>Portfolio:</w:t>
                </w:r>
              </w:p>
            </w:tc>
            <w:tc>
              <w:tcPr>
                <w:tcW w:w="8080" w:type="dxa"/>
                <w:gridSpan w:val="2"/>
                <w:tcMar>
                  <w:top w:w="113" w:type="dxa"/>
                  <w:left w:w="113" w:type="dxa"/>
                  <w:bottom w:w="113" w:type="dxa"/>
                  <w:right w:w="113" w:type="dxa"/>
                </w:tcMar>
                <w:vAlign w:val="center"/>
              </w:tcPr>
              <w:p w14:paraId="7C854490" w14:textId="79454FEA" w:rsidR="0049546F" w:rsidRPr="00AE67AC" w:rsidRDefault="00AE67AC" w:rsidP="00AE67AC">
                <w:pPr>
                  <w:rPr>
                    <w:rFonts w:cs="Arial"/>
                    <w:bCs/>
                  </w:rPr>
                </w:pPr>
                <w:r w:rsidRPr="009D183C">
                  <w:rPr>
                    <w:rFonts w:cs="Arial"/>
                    <w:bCs/>
                  </w:rPr>
                  <w:t>Cabinet Member Housing</w:t>
                </w:r>
                <w:r>
                  <w:rPr>
                    <w:rFonts w:cs="Arial"/>
                    <w:bCs/>
                  </w:rPr>
                  <w:t xml:space="preserve"> &amp; Highways</w:t>
                </w:r>
              </w:p>
            </w:tc>
          </w:tr>
          <w:tr w:rsidR="008B38C0" w:rsidRPr="00494768" w14:paraId="34BA4033" w14:textId="77777777" w:rsidTr="00294D4F">
            <w:tc>
              <w:tcPr>
                <w:tcW w:w="2410" w:type="dxa"/>
                <w:tcMar>
                  <w:top w:w="113" w:type="dxa"/>
                  <w:left w:w="113" w:type="dxa"/>
                  <w:bottom w:w="113" w:type="dxa"/>
                  <w:right w:w="113" w:type="dxa"/>
                </w:tcMar>
                <w:vAlign w:val="center"/>
              </w:tcPr>
              <w:p w14:paraId="723564CF" w14:textId="0E8FE8E3" w:rsidR="008B38C0" w:rsidRPr="00494768" w:rsidRDefault="008B38C0" w:rsidP="00F90FD0">
                <w:pPr>
                  <w:spacing w:after="0"/>
                  <w:rPr>
                    <w:rFonts w:eastAsia="Times New Roman" w:cs="Arial"/>
                    <w:sz w:val="24"/>
                    <w:szCs w:val="24"/>
                    <w:lang w:val="en"/>
                  </w:rPr>
                </w:pPr>
                <w:r w:rsidRPr="00494768">
                  <w:rPr>
                    <w:rFonts w:eastAsia="Times New Roman" w:cs="Arial"/>
                    <w:sz w:val="24"/>
                    <w:szCs w:val="24"/>
                    <w:lang w:val="en"/>
                  </w:rPr>
                  <w:t>Wards affected:</w:t>
                </w:r>
              </w:p>
            </w:tc>
            <w:tc>
              <w:tcPr>
                <w:tcW w:w="8080" w:type="dxa"/>
                <w:gridSpan w:val="2"/>
                <w:tcMar>
                  <w:top w:w="113" w:type="dxa"/>
                  <w:left w:w="113" w:type="dxa"/>
                  <w:bottom w:w="113" w:type="dxa"/>
                  <w:right w:w="113" w:type="dxa"/>
                </w:tcMar>
                <w:vAlign w:val="center"/>
              </w:tcPr>
              <w:p w14:paraId="056953A3" w14:textId="27DF5908" w:rsidR="008B38C0" w:rsidRPr="00494768" w:rsidRDefault="00A90126" w:rsidP="00F90FD0">
                <w:pPr>
                  <w:spacing w:after="0"/>
                  <w:rPr>
                    <w:rFonts w:cs="Arial"/>
                    <w:sz w:val="24"/>
                    <w:szCs w:val="24"/>
                    <w:lang w:val="en"/>
                  </w:rPr>
                </w:pPr>
                <w:r>
                  <w:rPr>
                    <w:rFonts w:cs="Arial"/>
                    <w:sz w:val="24"/>
                    <w:szCs w:val="24"/>
                    <w:lang w:val="en"/>
                  </w:rPr>
                  <w:t xml:space="preserve">Netherton &amp; </w:t>
                </w:r>
                <w:proofErr w:type="spellStart"/>
                <w:r>
                  <w:rPr>
                    <w:rFonts w:cs="Arial"/>
                    <w:sz w:val="24"/>
                    <w:szCs w:val="24"/>
                    <w:lang w:val="en"/>
                  </w:rPr>
                  <w:t>Orrell</w:t>
                </w:r>
                <w:proofErr w:type="spellEnd"/>
              </w:p>
            </w:tc>
          </w:tr>
          <w:tr w:rsidR="00EA7F39" w:rsidRPr="00494768" w14:paraId="61C25ED5" w14:textId="77777777" w:rsidTr="002B529A">
            <w:tc>
              <w:tcPr>
                <w:tcW w:w="2410" w:type="dxa"/>
                <w:tcMar>
                  <w:top w:w="113" w:type="dxa"/>
                  <w:left w:w="113" w:type="dxa"/>
                  <w:bottom w:w="113" w:type="dxa"/>
                  <w:right w:w="113" w:type="dxa"/>
                </w:tcMar>
                <w:vAlign w:val="center"/>
              </w:tcPr>
              <w:p w14:paraId="6541150D" w14:textId="77777777" w:rsidR="00EA7F39" w:rsidRDefault="00EA7F39" w:rsidP="00F90FD0">
                <w:pPr>
                  <w:spacing w:after="0"/>
                  <w:rPr>
                    <w:rFonts w:eastAsia="Times New Roman" w:cs="Arial"/>
                    <w:sz w:val="24"/>
                    <w:szCs w:val="24"/>
                    <w:lang w:val="en"/>
                  </w:rPr>
                </w:pPr>
                <w:r w:rsidRPr="00494768">
                  <w:rPr>
                    <w:rFonts w:eastAsia="Times New Roman" w:cs="Arial"/>
                    <w:sz w:val="24"/>
                    <w:szCs w:val="24"/>
                    <w:lang w:val="en"/>
                  </w:rPr>
                  <w:t>Is this a key decision:</w:t>
                </w:r>
              </w:p>
              <w:p w14:paraId="69FF7288" w14:textId="77777777" w:rsidR="00EA7F39" w:rsidRDefault="00EA7F39" w:rsidP="00F90FD0">
                <w:pPr>
                  <w:spacing w:after="0"/>
                  <w:rPr>
                    <w:rFonts w:eastAsia="Times New Roman" w:cs="Arial"/>
                    <w:sz w:val="24"/>
                    <w:szCs w:val="24"/>
                    <w:lang w:val="en"/>
                  </w:rPr>
                </w:pPr>
              </w:p>
              <w:p w14:paraId="0CD17489" w14:textId="77777777" w:rsidR="00EA7F39" w:rsidRDefault="00EA7F39" w:rsidP="0038744E">
                <w:pPr>
                  <w:spacing w:after="0"/>
                  <w:rPr>
                    <w:rFonts w:eastAsia="Times New Roman" w:cs="Arial"/>
                    <w:sz w:val="24"/>
                    <w:szCs w:val="24"/>
                    <w:lang w:val="en"/>
                  </w:rPr>
                </w:pPr>
                <w:r w:rsidRPr="00494768">
                  <w:rPr>
                    <w:rFonts w:eastAsia="Times New Roman" w:cs="Arial"/>
                    <w:sz w:val="24"/>
                    <w:szCs w:val="24"/>
                    <w:lang w:val="en"/>
                  </w:rPr>
                  <w:t>Included in Forward Plan:</w:t>
                </w:r>
              </w:p>
              <w:p w14:paraId="361E0D77" w14:textId="59E6329E" w:rsidR="00EA7F39" w:rsidRPr="00494768" w:rsidRDefault="00EA7F39" w:rsidP="00F90FD0">
                <w:pPr>
                  <w:spacing w:after="0"/>
                  <w:rPr>
                    <w:rFonts w:eastAsia="Times New Roman" w:cs="Arial"/>
                    <w:sz w:val="24"/>
                    <w:szCs w:val="24"/>
                    <w:lang w:val="en"/>
                  </w:rPr>
                </w:pPr>
              </w:p>
            </w:tc>
            <w:tc>
              <w:tcPr>
                <w:tcW w:w="4040" w:type="dxa"/>
                <w:tcMar>
                  <w:top w:w="113" w:type="dxa"/>
                  <w:left w:w="113" w:type="dxa"/>
                  <w:bottom w:w="113" w:type="dxa"/>
                  <w:right w:w="113" w:type="dxa"/>
                </w:tcMar>
                <w:vAlign w:val="center"/>
              </w:tcPr>
              <w:p w14:paraId="437F8E5F" w14:textId="0F8BAD7E" w:rsidR="00EA7F39" w:rsidRDefault="0069224E" w:rsidP="00F90FD0">
                <w:pPr>
                  <w:spacing w:after="0"/>
                  <w:rPr>
                    <w:rFonts w:cs="Arial"/>
                    <w:lang w:val="en"/>
                  </w:rPr>
                </w:pPr>
                <w:r>
                  <w:rPr>
                    <w:rFonts w:cs="Arial"/>
                    <w:lang w:val="en"/>
                  </w:rPr>
                  <w:t>No</w:t>
                </w:r>
              </w:p>
              <w:p w14:paraId="27B0DAF0" w14:textId="175606B6" w:rsidR="00A408FB" w:rsidRPr="00494768" w:rsidRDefault="00A408FB" w:rsidP="00F90FD0">
                <w:pPr>
                  <w:spacing w:after="0"/>
                  <w:rPr>
                    <w:rFonts w:cs="Arial"/>
                    <w:lang w:val="en"/>
                  </w:rPr>
                </w:pPr>
              </w:p>
            </w:tc>
            <w:tc>
              <w:tcPr>
                <w:tcW w:w="4040" w:type="dxa"/>
                <w:vAlign w:val="center"/>
              </w:tcPr>
              <w:p w14:paraId="7D798B18" w14:textId="4264BE61" w:rsidR="00EA7F39" w:rsidRDefault="0069224E" w:rsidP="00F90FD0">
                <w:pPr>
                  <w:spacing w:after="0"/>
                  <w:rPr>
                    <w:rFonts w:cs="Arial"/>
                    <w:sz w:val="24"/>
                    <w:szCs w:val="24"/>
                    <w:lang w:val="en"/>
                  </w:rPr>
                </w:pPr>
                <w:r>
                  <w:rPr>
                    <w:rFonts w:cs="Arial"/>
                    <w:sz w:val="24"/>
                    <w:szCs w:val="24"/>
                    <w:lang w:val="en"/>
                  </w:rPr>
                  <w:t>No</w:t>
                </w:r>
              </w:p>
              <w:p w14:paraId="39F75D48" w14:textId="2DE86149" w:rsidR="00A408FB" w:rsidRPr="00494768" w:rsidRDefault="00A408FB" w:rsidP="00F90FD0">
                <w:pPr>
                  <w:spacing w:after="0"/>
                  <w:rPr>
                    <w:rFonts w:cs="Arial"/>
                    <w:sz w:val="24"/>
                    <w:szCs w:val="24"/>
                    <w:lang w:val="en"/>
                  </w:rPr>
                </w:pPr>
              </w:p>
            </w:tc>
          </w:tr>
          <w:tr w:rsidR="008B38C0" w:rsidRPr="00494768" w14:paraId="5A52F7D5" w14:textId="77777777" w:rsidTr="00294D4F">
            <w:tc>
              <w:tcPr>
                <w:tcW w:w="2410" w:type="dxa"/>
                <w:tcMar>
                  <w:top w:w="113" w:type="dxa"/>
                  <w:left w:w="113" w:type="dxa"/>
                  <w:bottom w:w="113" w:type="dxa"/>
                  <w:right w:w="113" w:type="dxa"/>
                </w:tcMar>
                <w:vAlign w:val="center"/>
              </w:tcPr>
              <w:p w14:paraId="70A04138" w14:textId="0F39B076" w:rsidR="008B38C0" w:rsidRPr="00494768" w:rsidRDefault="008B38C0" w:rsidP="00F90FD0">
                <w:pPr>
                  <w:spacing w:after="0"/>
                  <w:rPr>
                    <w:rFonts w:eastAsia="Times New Roman" w:cs="Arial"/>
                    <w:sz w:val="24"/>
                    <w:szCs w:val="24"/>
                    <w:lang w:val="en"/>
                  </w:rPr>
                </w:pPr>
                <w:r w:rsidRPr="00494768">
                  <w:rPr>
                    <w:rFonts w:eastAsia="Times New Roman" w:cs="Arial"/>
                    <w:sz w:val="24"/>
                    <w:szCs w:val="24"/>
                    <w:lang w:val="en"/>
                  </w:rPr>
                  <w:t>Exempt/confidential report:</w:t>
                </w:r>
              </w:p>
            </w:tc>
            <w:tc>
              <w:tcPr>
                <w:tcW w:w="8080" w:type="dxa"/>
                <w:gridSpan w:val="2"/>
                <w:tcMar>
                  <w:top w:w="113" w:type="dxa"/>
                  <w:left w:w="113" w:type="dxa"/>
                  <w:bottom w:w="113" w:type="dxa"/>
                  <w:right w:w="113" w:type="dxa"/>
                </w:tcMar>
                <w:vAlign w:val="center"/>
              </w:tcPr>
              <w:p w14:paraId="4EF2F94E" w14:textId="2AE804B4" w:rsidR="008B38C0" w:rsidRPr="00AE67AC" w:rsidRDefault="000F2C5B" w:rsidP="00AE67AC">
                <w:pPr>
                  <w:rPr>
                    <w:rFonts w:cs="Arial"/>
                    <w:bCs/>
                  </w:rPr>
                </w:pPr>
                <w:r>
                  <w:rPr>
                    <w:rFonts w:cs="Arial"/>
                    <w:bCs/>
                  </w:rPr>
                  <w:t>No</w:t>
                </w:r>
              </w:p>
            </w:tc>
          </w:tr>
        </w:tbl>
        <w:p w14:paraId="60F4327A" w14:textId="69E5CB86" w:rsidR="00494768" w:rsidRDefault="004E64E2" w:rsidP="00326F30">
          <w:pPr>
            <w:rPr>
              <w:rFonts w:ascii="Arial" w:hAnsi="Arial" w:cs="Arial"/>
            </w:rPr>
          </w:pPr>
        </w:p>
      </w:sdtContent>
    </w:sdt>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460"/>
      </w:tblGrid>
      <w:tr w:rsidR="00494768" w:rsidRPr="00494768" w14:paraId="68C78C85" w14:textId="77777777" w:rsidTr="001C1BB3">
        <w:tc>
          <w:tcPr>
            <w:tcW w:w="9676" w:type="dxa"/>
            <w:tcBorders>
              <w:top w:val="nil"/>
              <w:left w:val="nil"/>
              <w:bottom w:val="nil"/>
              <w:right w:val="nil"/>
            </w:tcBorders>
          </w:tcPr>
          <w:p w14:paraId="7D596012" w14:textId="3BAF8424" w:rsidR="00494768" w:rsidRPr="00494768" w:rsidRDefault="00494768" w:rsidP="001C1BB3">
            <w:pPr>
              <w:rPr>
                <w:rFonts w:ascii="Arial" w:hAnsi="Arial" w:cs="Arial"/>
                <w:b/>
                <w:bCs/>
              </w:rPr>
            </w:pPr>
            <w:r w:rsidRPr="00494768">
              <w:rPr>
                <w:rFonts w:ascii="Arial" w:hAnsi="Arial" w:cs="Arial"/>
                <w:b/>
                <w:bCs/>
              </w:rPr>
              <w:t>Summary:</w:t>
            </w:r>
            <w:r w:rsidR="00B72C12">
              <w:rPr>
                <w:rFonts w:ascii="Arial" w:hAnsi="Arial" w:cs="Arial"/>
                <w:b/>
                <w:bCs/>
              </w:rPr>
              <w:t xml:space="preserve"> </w:t>
            </w:r>
            <w:r w:rsidR="00B72C12" w:rsidRPr="00B72C12">
              <w:rPr>
                <w:rFonts w:ascii="Arial" w:hAnsi="Arial" w:cs="Arial"/>
              </w:rPr>
              <w:t xml:space="preserve">To seek approval to agree to a Local Lettings Plan for </w:t>
            </w:r>
            <w:r w:rsidR="00606321">
              <w:rPr>
                <w:rFonts w:ascii="Arial" w:hAnsi="Arial" w:cs="Arial"/>
              </w:rPr>
              <w:t>Morris Meadows</w:t>
            </w:r>
            <w:r w:rsidR="00B72C12" w:rsidRPr="00B72C12">
              <w:rPr>
                <w:rFonts w:ascii="Arial" w:hAnsi="Arial" w:cs="Arial"/>
              </w:rPr>
              <w:t xml:space="preserve">, development in </w:t>
            </w:r>
            <w:r w:rsidR="00606321">
              <w:rPr>
                <w:rFonts w:ascii="Arial" w:hAnsi="Arial" w:cs="Arial"/>
              </w:rPr>
              <w:t>Netherton</w:t>
            </w:r>
            <w:r w:rsidR="00B72C12" w:rsidRPr="00B72C12">
              <w:rPr>
                <w:rFonts w:ascii="Arial" w:hAnsi="Arial" w:cs="Arial"/>
              </w:rPr>
              <w:t>.</w:t>
            </w:r>
          </w:p>
        </w:tc>
      </w:tr>
      <w:tr w:rsidR="00494768" w:rsidRPr="00494768" w14:paraId="62CAB520" w14:textId="77777777" w:rsidTr="001C1BB3">
        <w:tc>
          <w:tcPr>
            <w:tcW w:w="9676" w:type="dxa"/>
            <w:tcBorders>
              <w:top w:val="nil"/>
              <w:left w:val="nil"/>
              <w:bottom w:val="nil"/>
              <w:right w:val="nil"/>
            </w:tcBorders>
            <w:hideMark/>
          </w:tcPr>
          <w:p w14:paraId="4A66BF6E" w14:textId="77777777" w:rsidR="00494768" w:rsidRPr="00494768" w:rsidRDefault="00494768" w:rsidP="001C1BB3">
            <w:pPr>
              <w:rPr>
                <w:rFonts w:ascii="Arial" w:hAnsi="Arial" w:cs="Arial"/>
                <w:b/>
                <w:bCs/>
              </w:rPr>
            </w:pPr>
            <w:r w:rsidRPr="00494768">
              <w:rPr>
                <w:rFonts w:ascii="Arial" w:hAnsi="Arial" w:cs="Arial"/>
                <w:b/>
                <w:bCs/>
              </w:rPr>
              <w:t>Recommendation(s):</w:t>
            </w:r>
          </w:p>
        </w:tc>
      </w:tr>
      <w:tr w:rsidR="00494768" w:rsidRPr="00494768" w14:paraId="3DA553EC" w14:textId="77777777" w:rsidTr="001C1BB3">
        <w:tc>
          <w:tcPr>
            <w:tcW w:w="9676" w:type="dxa"/>
            <w:tcBorders>
              <w:top w:val="nil"/>
              <w:left w:val="nil"/>
              <w:bottom w:val="nil"/>
              <w:right w:val="nil"/>
            </w:tcBorders>
          </w:tcPr>
          <w:p w14:paraId="1593887C" w14:textId="77777777" w:rsidR="00494768" w:rsidRPr="00494768" w:rsidRDefault="00494768" w:rsidP="001C1BB3">
            <w:pPr>
              <w:rPr>
                <w:rFonts w:ascii="Arial" w:hAnsi="Arial" w:cs="Arial"/>
                <w:bCs/>
              </w:rPr>
            </w:pPr>
          </w:p>
          <w:p w14:paraId="57539C70" w14:textId="12BEE4D2" w:rsidR="00494768" w:rsidRPr="000470D6" w:rsidRDefault="00494768" w:rsidP="001C1BB3">
            <w:pPr>
              <w:rPr>
                <w:rFonts w:ascii="Arial" w:hAnsi="Arial" w:cs="Arial"/>
                <w:bCs/>
              </w:rPr>
            </w:pPr>
            <w:r w:rsidRPr="00494768">
              <w:rPr>
                <w:rFonts w:ascii="Arial" w:hAnsi="Arial" w:cs="Arial"/>
                <w:bCs/>
              </w:rPr>
              <w:t>(1)</w:t>
            </w:r>
            <w:r w:rsidR="00940864">
              <w:rPr>
                <w:rFonts w:ascii="Arial" w:hAnsi="Arial" w:cs="Arial"/>
                <w:bCs/>
              </w:rPr>
              <w:tab/>
            </w:r>
            <w:r w:rsidR="000470D6" w:rsidRPr="000470D6">
              <w:rPr>
                <w:rFonts w:ascii="Arial" w:hAnsi="Arial" w:cs="Arial"/>
              </w:rPr>
              <w:t xml:space="preserve">That Cabinet Member approves the use of a Local Lettings Plans by </w:t>
            </w:r>
            <w:r w:rsidR="00606321">
              <w:rPr>
                <w:rFonts w:ascii="Arial" w:hAnsi="Arial" w:cs="Arial"/>
              </w:rPr>
              <w:t>One Vision</w:t>
            </w:r>
            <w:r w:rsidR="000470D6" w:rsidRPr="000470D6">
              <w:rPr>
                <w:rFonts w:ascii="Arial" w:hAnsi="Arial" w:cs="Arial"/>
              </w:rPr>
              <w:t xml:space="preserve"> for the new </w:t>
            </w:r>
            <w:r w:rsidR="00606321">
              <w:rPr>
                <w:rFonts w:ascii="Arial" w:hAnsi="Arial" w:cs="Arial"/>
              </w:rPr>
              <w:t xml:space="preserve">build </w:t>
            </w:r>
            <w:r w:rsidR="000470D6" w:rsidRPr="000470D6">
              <w:rPr>
                <w:rFonts w:ascii="Arial" w:hAnsi="Arial" w:cs="Arial"/>
              </w:rPr>
              <w:t xml:space="preserve">development at </w:t>
            </w:r>
            <w:r w:rsidR="00606321">
              <w:rPr>
                <w:rFonts w:ascii="Arial" w:hAnsi="Arial" w:cs="Arial"/>
              </w:rPr>
              <w:t>Morris Meadows</w:t>
            </w:r>
            <w:r w:rsidR="00E04322">
              <w:rPr>
                <w:rFonts w:ascii="Arial" w:hAnsi="Arial" w:cs="Arial"/>
              </w:rPr>
              <w:t>, Braidwood Road</w:t>
            </w:r>
            <w:r w:rsidR="000470D6" w:rsidRPr="000470D6">
              <w:rPr>
                <w:rFonts w:ascii="Arial" w:hAnsi="Arial" w:cs="Arial"/>
              </w:rPr>
              <w:t xml:space="preserve"> in </w:t>
            </w:r>
            <w:r w:rsidR="00E04322">
              <w:rPr>
                <w:rFonts w:ascii="Arial" w:hAnsi="Arial" w:cs="Arial"/>
              </w:rPr>
              <w:t>Netherton</w:t>
            </w:r>
            <w:r w:rsidR="000470D6" w:rsidRPr="000470D6">
              <w:rPr>
                <w:rFonts w:ascii="Arial" w:hAnsi="Arial" w:cs="Arial"/>
              </w:rPr>
              <w:t>.</w:t>
            </w:r>
          </w:p>
        </w:tc>
      </w:tr>
      <w:tr w:rsidR="000470D6" w:rsidRPr="00494768" w14:paraId="1A57B6AA" w14:textId="77777777" w:rsidTr="001C1BB3">
        <w:tc>
          <w:tcPr>
            <w:tcW w:w="9676" w:type="dxa"/>
            <w:tcBorders>
              <w:top w:val="nil"/>
              <w:left w:val="nil"/>
              <w:bottom w:val="nil"/>
              <w:right w:val="nil"/>
            </w:tcBorders>
          </w:tcPr>
          <w:p w14:paraId="17F7D94A" w14:textId="77777777" w:rsidR="000470D6" w:rsidRPr="00494768" w:rsidRDefault="000470D6" w:rsidP="001C1BB3">
            <w:pPr>
              <w:rPr>
                <w:rFonts w:ascii="Arial" w:hAnsi="Arial" w:cs="Arial"/>
                <w:bCs/>
              </w:rPr>
            </w:pPr>
          </w:p>
        </w:tc>
      </w:tr>
    </w:tbl>
    <w:p w14:paraId="0A915968" w14:textId="77777777" w:rsidR="00494768" w:rsidRPr="00494768" w:rsidRDefault="00494768" w:rsidP="00494768">
      <w:pPr>
        <w:rPr>
          <w:rFonts w:ascii="Arial" w:hAnsi="Arial" w:cs="Arial"/>
          <w:bCs/>
        </w:rPr>
      </w:pPr>
    </w:p>
    <w:p w14:paraId="051FA800" w14:textId="334BB185" w:rsidR="00494768" w:rsidRPr="00123A9B" w:rsidRDefault="00494768" w:rsidP="00123A9B">
      <w:pPr>
        <w:pStyle w:val="ListParagraph"/>
        <w:numPr>
          <w:ilvl w:val="0"/>
          <w:numId w:val="8"/>
        </w:numPr>
        <w:rPr>
          <w:rFonts w:ascii="Arial" w:hAnsi="Arial"/>
          <w:b/>
          <w:bCs/>
        </w:rPr>
      </w:pPr>
      <w:r w:rsidRPr="00123A9B">
        <w:rPr>
          <w:rFonts w:ascii="Arial" w:hAnsi="Arial"/>
          <w:b/>
          <w:bCs/>
        </w:rPr>
        <w:t>The Rationale and Evidence for the Recommendations</w:t>
      </w:r>
    </w:p>
    <w:p w14:paraId="5BFF3E70" w14:textId="4FFFDCC6" w:rsidR="006D2A71" w:rsidRPr="005D61E2" w:rsidRDefault="003C3B92" w:rsidP="006D2A71">
      <w:pPr>
        <w:pStyle w:val="ListParagraph"/>
        <w:numPr>
          <w:ilvl w:val="1"/>
          <w:numId w:val="10"/>
        </w:numPr>
        <w:autoSpaceDE/>
        <w:autoSpaceDN/>
        <w:adjustRightInd/>
        <w:snapToGrid/>
        <w:spacing w:after="0"/>
        <w:contextualSpacing/>
        <w:rPr>
          <w:rFonts w:ascii="Arial" w:hAnsi="Arial"/>
        </w:rPr>
      </w:pPr>
      <w:bookmarkStart w:id="0" w:name="_Hlk28949616"/>
      <w:r>
        <w:rPr>
          <w:rFonts w:ascii="Arial" w:hAnsi="Arial"/>
        </w:rPr>
        <w:t>One Vision</w:t>
      </w:r>
      <w:r w:rsidR="006D2A71" w:rsidRPr="005D61E2">
        <w:rPr>
          <w:rFonts w:ascii="Arial" w:hAnsi="Arial"/>
        </w:rPr>
        <w:t xml:space="preserve"> housing association are pursuing a New Build scheme at </w:t>
      </w:r>
      <w:r>
        <w:rPr>
          <w:rFonts w:ascii="Arial" w:hAnsi="Arial"/>
        </w:rPr>
        <w:t xml:space="preserve">Morris Meadows </w:t>
      </w:r>
      <w:r w:rsidR="006D2A71" w:rsidRPr="005D61E2">
        <w:rPr>
          <w:rFonts w:ascii="Arial" w:hAnsi="Arial"/>
        </w:rPr>
        <w:t xml:space="preserve">in </w:t>
      </w:r>
      <w:r>
        <w:rPr>
          <w:rFonts w:ascii="Arial" w:hAnsi="Arial"/>
        </w:rPr>
        <w:t>Netherton</w:t>
      </w:r>
      <w:r w:rsidR="006D2A71" w:rsidRPr="005D61E2">
        <w:rPr>
          <w:rFonts w:ascii="Arial" w:hAnsi="Arial"/>
        </w:rPr>
        <w:t xml:space="preserve">. </w:t>
      </w:r>
    </w:p>
    <w:p w14:paraId="6A0B45D2" w14:textId="77777777" w:rsidR="006D2A71" w:rsidRPr="005D61E2" w:rsidRDefault="006D2A71" w:rsidP="0037032F">
      <w:pPr>
        <w:pStyle w:val="ListParagraph"/>
        <w:numPr>
          <w:ilvl w:val="0"/>
          <w:numId w:val="0"/>
        </w:numPr>
        <w:ind w:left="714"/>
        <w:rPr>
          <w:rFonts w:ascii="Arial" w:hAnsi="Arial"/>
        </w:rPr>
      </w:pPr>
    </w:p>
    <w:p w14:paraId="7191454C" w14:textId="389AC237" w:rsidR="00D11C39" w:rsidRDefault="006D2A71" w:rsidP="00DB12C0">
      <w:pPr>
        <w:pStyle w:val="ListParagraph"/>
        <w:rPr>
          <w:rFonts w:ascii="Arial" w:hAnsi="Arial"/>
        </w:rPr>
      </w:pPr>
      <w:r w:rsidRPr="00D11C39">
        <w:rPr>
          <w:rFonts w:ascii="Arial" w:hAnsi="Arial"/>
        </w:rPr>
        <w:t xml:space="preserve">The development consists of </w:t>
      </w:r>
      <w:r w:rsidR="00D11C39" w:rsidRPr="00D11C39">
        <w:rPr>
          <w:rFonts w:ascii="Arial" w:hAnsi="Arial"/>
        </w:rPr>
        <w:t>shared ownership and rent to buy houses and an apartment block containing 58 affordable rented flats (18 x ground floor, 20 x first floor and 20 x second floor).</w:t>
      </w:r>
    </w:p>
    <w:p w14:paraId="64E1FD84" w14:textId="17316B8B" w:rsidR="006D2A71" w:rsidRPr="00D11C39" w:rsidRDefault="006D2A71" w:rsidP="00D11C39">
      <w:pPr>
        <w:pStyle w:val="ListParagraph"/>
        <w:numPr>
          <w:ilvl w:val="0"/>
          <w:numId w:val="0"/>
        </w:numPr>
        <w:ind w:left="714"/>
        <w:rPr>
          <w:rFonts w:ascii="Arial" w:hAnsi="Arial"/>
        </w:rPr>
      </w:pPr>
      <w:r w:rsidRPr="00D11C39">
        <w:rPr>
          <w:rFonts w:ascii="Arial" w:hAnsi="Arial"/>
        </w:rPr>
        <w:lastRenderedPageBreak/>
        <w:t xml:space="preserve">The property breakdown is as </w:t>
      </w:r>
      <w:r w:rsidR="00FB0F40" w:rsidRPr="00D11C39">
        <w:rPr>
          <w:rFonts w:ascii="Arial" w:hAnsi="Arial"/>
        </w:rPr>
        <w:t>follows</w:t>
      </w:r>
      <w:r w:rsidR="00FB0F40">
        <w:rPr>
          <w:rFonts w:ascii="Arial" w:hAnsi="Arial"/>
        </w:rPr>
        <w:t>:</w:t>
      </w:r>
    </w:p>
    <w:p w14:paraId="088A097E" w14:textId="77777777" w:rsidR="00534309" w:rsidRPr="00534309" w:rsidRDefault="00534309" w:rsidP="00534309">
      <w:pPr>
        <w:pStyle w:val="ListParagraph"/>
        <w:spacing w:after="0"/>
        <w:ind w:left="1440"/>
        <w:contextualSpacing/>
        <w:rPr>
          <w:rFonts w:ascii="Arial" w:hAnsi="Arial"/>
          <w:b/>
        </w:rPr>
      </w:pPr>
      <w:r w:rsidRPr="00534309">
        <w:rPr>
          <w:rFonts w:ascii="Arial" w:hAnsi="Arial"/>
          <w:b/>
        </w:rPr>
        <w:t>24 x 1-bedroom apartments</w:t>
      </w:r>
    </w:p>
    <w:p w14:paraId="329ADDB2" w14:textId="77777777" w:rsidR="00534309" w:rsidRPr="00534309" w:rsidRDefault="00534309" w:rsidP="00534309">
      <w:pPr>
        <w:pStyle w:val="ListParagraph"/>
        <w:spacing w:after="0"/>
        <w:ind w:left="1440"/>
        <w:contextualSpacing/>
        <w:rPr>
          <w:rFonts w:ascii="Arial" w:hAnsi="Arial"/>
          <w:b/>
        </w:rPr>
      </w:pPr>
      <w:r w:rsidRPr="00534309">
        <w:rPr>
          <w:rFonts w:ascii="Arial" w:hAnsi="Arial"/>
          <w:b/>
        </w:rPr>
        <w:t>33 x 2-bedroom apartments</w:t>
      </w:r>
    </w:p>
    <w:p w14:paraId="7A37D4F8" w14:textId="77777777" w:rsidR="00534309" w:rsidRPr="00534309" w:rsidRDefault="00534309" w:rsidP="00534309">
      <w:pPr>
        <w:pStyle w:val="ListParagraph"/>
        <w:spacing w:after="0"/>
        <w:ind w:left="1440"/>
        <w:contextualSpacing/>
        <w:rPr>
          <w:rFonts w:ascii="Arial" w:hAnsi="Arial"/>
          <w:b/>
        </w:rPr>
      </w:pPr>
      <w:r w:rsidRPr="00534309">
        <w:rPr>
          <w:rFonts w:ascii="Arial" w:hAnsi="Arial"/>
          <w:b/>
        </w:rPr>
        <w:t xml:space="preserve">1 x 3-bedroom apartment </w:t>
      </w:r>
    </w:p>
    <w:p w14:paraId="3C1AA43C" w14:textId="77777777" w:rsidR="0037032F" w:rsidRPr="005D61E2" w:rsidRDefault="0037032F" w:rsidP="0037032F">
      <w:pPr>
        <w:pStyle w:val="ListParagraph"/>
        <w:numPr>
          <w:ilvl w:val="0"/>
          <w:numId w:val="0"/>
        </w:numPr>
        <w:autoSpaceDE/>
        <w:autoSpaceDN/>
        <w:adjustRightInd/>
        <w:snapToGrid/>
        <w:spacing w:after="0"/>
        <w:ind w:left="1440"/>
        <w:contextualSpacing/>
        <w:rPr>
          <w:rFonts w:ascii="Arial" w:hAnsi="Arial"/>
          <w:b/>
        </w:rPr>
      </w:pPr>
    </w:p>
    <w:p w14:paraId="2F132447" w14:textId="0542D53E" w:rsidR="006D2A71" w:rsidRPr="005D61E2" w:rsidRDefault="006D2A71" w:rsidP="0037032F">
      <w:pPr>
        <w:ind w:left="720" w:hanging="720"/>
        <w:rPr>
          <w:rFonts w:ascii="Arial" w:hAnsi="Arial" w:cs="Arial"/>
        </w:rPr>
      </w:pPr>
      <w:r w:rsidRPr="005D61E2">
        <w:rPr>
          <w:rFonts w:ascii="Arial" w:hAnsi="Arial" w:cs="Arial"/>
        </w:rPr>
        <w:t>1.2</w:t>
      </w:r>
      <w:r w:rsidRPr="005D61E2">
        <w:rPr>
          <w:rFonts w:ascii="Arial" w:hAnsi="Arial" w:cs="Arial"/>
        </w:rPr>
        <w:tab/>
      </w:r>
      <w:r w:rsidR="001849A3">
        <w:rPr>
          <w:rFonts w:ascii="Arial" w:hAnsi="Arial" w:cs="Arial"/>
        </w:rPr>
        <w:t xml:space="preserve">One Vision Housing </w:t>
      </w:r>
      <w:r w:rsidRPr="005D61E2">
        <w:rPr>
          <w:rFonts w:ascii="Arial" w:hAnsi="Arial" w:cs="Arial"/>
        </w:rPr>
        <w:t>propose the use of a Local Lettings Plan (LLP) to allocate the properties on the site. The Council’s own Allocations Policy (Property Pool Plus) Section 2.2 states:</w:t>
      </w:r>
    </w:p>
    <w:p w14:paraId="6344009B" w14:textId="3B5C634B" w:rsidR="006D2A71" w:rsidRPr="005D61E2" w:rsidRDefault="006D2A71" w:rsidP="006D2A71">
      <w:pPr>
        <w:rPr>
          <w:rFonts w:ascii="Arial" w:hAnsi="Arial" w:cs="Arial"/>
          <w:i/>
        </w:rPr>
      </w:pPr>
      <w:r w:rsidRPr="005D61E2">
        <w:rPr>
          <w:rFonts w:ascii="Arial" w:hAnsi="Arial" w:cs="Arial"/>
        </w:rPr>
        <w:tab/>
      </w:r>
      <w:r w:rsidRPr="005D61E2">
        <w:rPr>
          <w:rFonts w:ascii="Arial" w:hAnsi="Arial" w:cs="Arial"/>
          <w:i/>
        </w:rPr>
        <w:t>Local Letting Schemes</w:t>
      </w:r>
    </w:p>
    <w:p w14:paraId="42D836EA" w14:textId="77777777" w:rsidR="006D2A71" w:rsidRPr="005D61E2" w:rsidRDefault="006D2A71" w:rsidP="006D2A71">
      <w:pPr>
        <w:ind w:left="720"/>
        <w:rPr>
          <w:rFonts w:ascii="Arial" w:hAnsi="Arial" w:cs="Arial"/>
          <w:i/>
        </w:rPr>
      </w:pPr>
      <w:r w:rsidRPr="005D61E2">
        <w:rPr>
          <w:rFonts w:ascii="Arial" w:hAnsi="Arial" w:cs="Arial"/>
          <w:i/>
        </w:rPr>
        <w:t>4.3.1</w:t>
      </w:r>
      <w:r w:rsidRPr="005D61E2">
        <w:rPr>
          <w:rFonts w:ascii="Arial" w:hAnsi="Arial" w:cs="Arial"/>
          <w:i/>
        </w:rPr>
        <w:tab/>
        <w:t>The local authority and registered providers can use local lettings schemes to achieve a wide variety of housing management and policy objectives subject to agreement with the local authority. The following list is intended to be illustrative and in no way prescribed or definitive:</w:t>
      </w:r>
    </w:p>
    <w:p w14:paraId="7BBF8B77" w14:textId="00C7522A" w:rsidR="006D2A71" w:rsidRPr="005D61E2" w:rsidRDefault="006D2A71" w:rsidP="006D2A71">
      <w:pPr>
        <w:ind w:left="1440"/>
        <w:rPr>
          <w:rFonts w:ascii="Arial" w:hAnsi="Arial" w:cs="Arial"/>
          <w:i/>
        </w:rPr>
      </w:pPr>
      <w:r w:rsidRPr="005D61E2">
        <w:rPr>
          <w:rFonts w:ascii="Arial" w:hAnsi="Arial" w:cs="Arial"/>
          <w:i/>
        </w:rPr>
        <w:t xml:space="preserve">1. Allocating accommodation in rural villages and giving priority </w:t>
      </w:r>
      <w:r w:rsidR="00FB0F40" w:rsidRPr="005D61E2">
        <w:rPr>
          <w:rFonts w:ascii="Arial" w:hAnsi="Arial" w:cs="Arial"/>
          <w:i/>
        </w:rPr>
        <w:t>to applicants</w:t>
      </w:r>
      <w:r w:rsidRPr="005D61E2">
        <w:rPr>
          <w:rFonts w:ascii="Arial" w:hAnsi="Arial" w:cs="Arial"/>
          <w:i/>
        </w:rPr>
        <w:t xml:space="preserve"> with a connection to a particular parish.</w:t>
      </w:r>
    </w:p>
    <w:p w14:paraId="7E5659F9" w14:textId="77777777" w:rsidR="006D2A71" w:rsidRPr="005D61E2" w:rsidRDefault="006D2A71" w:rsidP="006D2A71">
      <w:pPr>
        <w:ind w:left="1440"/>
        <w:rPr>
          <w:rFonts w:ascii="Arial" w:hAnsi="Arial" w:cs="Arial"/>
          <w:i/>
        </w:rPr>
      </w:pPr>
      <w:r w:rsidRPr="005D61E2">
        <w:rPr>
          <w:rFonts w:ascii="Arial" w:hAnsi="Arial" w:cs="Arial"/>
          <w:i/>
        </w:rPr>
        <w:t>2. Creating more mixed and/or sustainable communities.</w:t>
      </w:r>
    </w:p>
    <w:p w14:paraId="51C6AE80" w14:textId="77777777" w:rsidR="006D2A71" w:rsidRPr="005D61E2" w:rsidRDefault="006D2A71" w:rsidP="006D2A71">
      <w:pPr>
        <w:ind w:left="1440"/>
        <w:rPr>
          <w:rFonts w:ascii="Arial" w:hAnsi="Arial" w:cs="Arial"/>
          <w:i/>
        </w:rPr>
      </w:pPr>
      <w:r w:rsidRPr="005D61E2">
        <w:rPr>
          <w:rFonts w:ascii="Arial" w:hAnsi="Arial" w:cs="Arial"/>
          <w:i/>
        </w:rPr>
        <w:t>3. Dealing with a concentration of deprivation.</w:t>
      </w:r>
    </w:p>
    <w:p w14:paraId="4E2146E1" w14:textId="77777777" w:rsidR="006D2A71" w:rsidRPr="005D61E2" w:rsidRDefault="006D2A71" w:rsidP="006D2A71">
      <w:pPr>
        <w:ind w:left="1440"/>
        <w:rPr>
          <w:rFonts w:ascii="Arial" w:hAnsi="Arial" w:cs="Arial"/>
          <w:i/>
        </w:rPr>
      </w:pPr>
      <w:r w:rsidRPr="005D61E2">
        <w:rPr>
          <w:rFonts w:ascii="Arial" w:hAnsi="Arial" w:cs="Arial"/>
          <w:i/>
        </w:rPr>
        <w:t>4. Ensuring properties that are particularly suited to being made accessible (e.g. ground floor flats) are prioritised for those with access needs.</w:t>
      </w:r>
    </w:p>
    <w:p w14:paraId="6DA91288" w14:textId="77777777" w:rsidR="006D2A71" w:rsidRPr="005D61E2" w:rsidRDefault="006D2A71" w:rsidP="006D2A71">
      <w:pPr>
        <w:ind w:left="1440"/>
        <w:rPr>
          <w:rFonts w:ascii="Arial" w:hAnsi="Arial" w:cs="Arial"/>
          <w:i/>
        </w:rPr>
      </w:pPr>
      <w:r w:rsidRPr="005D61E2">
        <w:rPr>
          <w:rFonts w:ascii="Arial" w:hAnsi="Arial" w:cs="Arial"/>
          <w:i/>
        </w:rPr>
        <w:t>Property Pool Plus Housing Allocation Scheme Procedure</w:t>
      </w:r>
    </w:p>
    <w:p w14:paraId="0A38E1B9" w14:textId="77777777" w:rsidR="006D2A71" w:rsidRPr="005D61E2" w:rsidRDefault="006D2A71" w:rsidP="006D2A71">
      <w:pPr>
        <w:ind w:left="1440"/>
        <w:rPr>
          <w:rFonts w:ascii="Arial" w:hAnsi="Arial" w:cs="Arial"/>
          <w:i/>
        </w:rPr>
      </w:pPr>
      <w:r w:rsidRPr="005D61E2">
        <w:rPr>
          <w:rFonts w:ascii="Arial" w:hAnsi="Arial" w:cs="Arial"/>
          <w:i/>
        </w:rPr>
        <w:t xml:space="preserve">5. Relocating essential workers such as teachers, </w:t>
      </w:r>
      <w:proofErr w:type="gramStart"/>
      <w:r w:rsidRPr="005D61E2">
        <w:rPr>
          <w:rFonts w:ascii="Arial" w:hAnsi="Arial" w:cs="Arial"/>
          <w:i/>
        </w:rPr>
        <w:t>nurses</w:t>
      </w:r>
      <w:proofErr w:type="gramEnd"/>
      <w:r w:rsidRPr="005D61E2">
        <w:rPr>
          <w:rFonts w:ascii="Arial" w:hAnsi="Arial" w:cs="Arial"/>
          <w:i/>
        </w:rPr>
        <w:t xml:space="preserve"> and police officers within a reasonable travelling distance from their work.</w:t>
      </w:r>
    </w:p>
    <w:p w14:paraId="4338227D" w14:textId="77777777" w:rsidR="006D2A71" w:rsidRPr="005D61E2" w:rsidRDefault="006D2A71" w:rsidP="006D2A71">
      <w:pPr>
        <w:ind w:left="1440"/>
        <w:rPr>
          <w:rFonts w:ascii="Arial" w:hAnsi="Arial" w:cs="Arial"/>
          <w:i/>
        </w:rPr>
      </w:pPr>
      <w:r w:rsidRPr="005D61E2">
        <w:rPr>
          <w:rFonts w:ascii="Arial" w:hAnsi="Arial" w:cs="Arial"/>
          <w:i/>
        </w:rPr>
        <w:t>6. Supporting people in work/volunteering or who are seeking work or seeking volunteering opportunities.</w:t>
      </w:r>
    </w:p>
    <w:p w14:paraId="5B8FFCA9" w14:textId="77777777" w:rsidR="006D2A71" w:rsidRPr="005D61E2" w:rsidRDefault="006D2A71" w:rsidP="006D2A71">
      <w:pPr>
        <w:ind w:left="1440"/>
        <w:rPr>
          <w:rFonts w:ascii="Arial" w:hAnsi="Arial" w:cs="Arial"/>
          <w:i/>
        </w:rPr>
      </w:pPr>
      <w:r w:rsidRPr="005D61E2">
        <w:rPr>
          <w:rFonts w:ascii="Arial" w:hAnsi="Arial" w:cs="Arial"/>
          <w:i/>
        </w:rPr>
        <w:t>7. Dealing sensitively with lettings in rural areas to sustain communities by giving priority to those with a local connection of more than two years.</w:t>
      </w:r>
    </w:p>
    <w:p w14:paraId="3DDCC4C6" w14:textId="77777777" w:rsidR="006D2A71" w:rsidRPr="005D61E2" w:rsidRDefault="006D2A71" w:rsidP="006D2A71">
      <w:pPr>
        <w:ind w:left="1440"/>
        <w:rPr>
          <w:rFonts w:ascii="Arial" w:hAnsi="Arial" w:cs="Arial"/>
          <w:i/>
        </w:rPr>
      </w:pPr>
      <w:r w:rsidRPr="005D61E2">
        <w:rPr>
          <w:rFonts w:ascii="Arial" w:hAnsi="Arial" w:cs="Arial"/>
          <w:i/>
        </w:rPr>
        <w:t>8. Where a child to adult ratio could be lowered on an estate where there is high child density or, conversely, young single people could integrate into an estate where there is high ratio of older persons.</w:t>
      </w:r>
    </w:p>
    <w:p w14:paraId="1302FC26" w14:textId="35DAEF11" w:rsidR="006D2A71" w:rsidRPr="005D61E2" w:rsidRDefault="006D2A71" w:rsidP="0037032F">
      <w:pPr>
        <w:ind w:left="1440"/>
        <w:rPr>
          <w:rFonts w:ascii="Arial" w:hAnsi="Arial" w:cs="Arial"/>
          <w:i/>
        </w:rPr>
      </w:pPr>
      <w:r w:rsidRPr="005D61E2">
        <w:rPr>
          <w:rFonts w:ascii="Arial" w:hAnsi="Arial" w:cs="Arial"/>
          <w:i/>
        </w:rPr>
        <w:t>9. Where there are reasons to positively discriminate due to age, for example accommodation is only suitable for applicants under the age of 35 years, or over the age of state pension entitlement.</w:t>
      </w:r>
    </w:p>
    <w:p w14:paraId="52503B82" w14:textId="2FCE49CE" w:rsidR="006D2A71" w:rsidRPr="005D61E2" w:rsidRDefault="006D2A71" w:rsidP="0037032F">
      <w:pPr>
        <w:ind w:left="720"/>
        <w:rPr>
          <w:rFonts w:ascii="Arial" w:hAnsi="Arial" w:cs="Arial"/>
        </w:rPr>
      </w:pPr>
      <w:r w:rsidRPr="005D61E2">
        <w:rPr>
          <w:rFonts w:ascii="Arial" w:hAnsi="Arial" w:cs="Arial"/>
        </w:rPr>
        <w:t>1.3</w:t>
      </w:r>
      <w:r w:rsidRPr="005D61E2">
        <w:rPr>
          <w:rFonts w:ascii="Arial" w:hAnsi="Arial" w:cs="Arial"/>
        </w:rPr>
        <w:tab/>
        <w:t>The statutory basis for “local lettings policies” is within Section 167(2E) of the 1996 Housing Act which enables accommodation to be allocated to people of a particular description, that fall within the reasonable preference groups, or provides that additional priority can be given to people in any of those preference groups.</w:t>
      </w:r>
    </w:p>
    <w:p w14:paraId="238C56C4" w14:textId="70799F25" w:rsidR="006D2A71" w:rsidRPr="005D61E2" w:rsidRDefault="006D2A71" w:rsidP="0037032F">
      <w:pPr>
        <w:ind w:left="720"/>
        <w:rPr>
          <w:rFonts w:ascii="Arial" w:hAnsi="Arial" w:cs="Arial"/>
        </w:rPr>
      </w:pPr>
      <w:r w:rsidRPr="005D61E2">
        <w:rPr>
          <w:rFonts w:ascii="Arial" w:hAnsi="Arial" w:cs="Arial"/>
        </w:rPr>
        <w:t xml:space="preserve">In 2010, the Communities and Local Govt Department and Chartered Institute of Housing issued a Good Practice guide for the use of Local Lettings Plans. This </w:t>
      </w:r>
      <w:r w:rsidRPr="005D61E2">
        <w:rPr>
          <w:rFonts w:ascii="Arial" w:hAnsi="Arial" w:cs="Arial"/>
        </w:rPr>
        <w:lastRenderedPageBreak/>
        <w:t xml:space="preserve">recognises that Local lettings policies may be used to achieve a wide variety of housing management and other housing policy objectives. For example, local lettings policies may be used to ‘’protect existing stable communities’’, and ‘’improving community stability and cohesion’’. The guidance also describes the use of ‘Sensitive Lettings’ which can be used to address specific issues, such as the make-up of a particular block of flats, </w:t>
      </w:r>
      <w:proofErr w:type="spellStart"/>
      <w:r w:rsidRPr="005D61E2">
        <w:rPr>
          <w:rFonts w:ascii="Arial" w:hAnsi="Arial" w:cs="Arial"/>
        </w:rPr>
        <w:t>ie</w:t>
      </w:r>
      <w:proofErr w:type="spellEnd"/>
      <w:r w:rsidRPr="005D61E2">
        <w:rPr>
          <w:rFonts w:ascii="Arial" w:hAnsi="Arial" w:cs="Arial"/>
        </w:rPr>
        <w:t>. having the ability to by-pass applicants to avoid potential lifestyle clashes that could arise by rehousing certain groups of applicants under one roof.</w:t>
      </w:r>
    </w:p>
    <w:p w14:paraId="6730703A" w14:textId="0D9CDFDB" w:rsidR="006D2A71" w:rsidRPr="005D61E2" w:rsidRDefault="006D2A71" w:rsidP="006D2A71">
      <w:pPr>
        <w:ind w:left="720" w:hanging="720"/>
        <w:rPr>
          <w:rFonts w:ascii="Arial" w:hAnsi="Arial" w:cs="Arial"/>
        </w:rPr>
      </w:pPr>
      <w:r w:rsidRPr="005D61E2">
        <w:rPr>
          <w:rFonts w:ascii="Arial" w:hAnsi="Arial" w:cs="Arial"/>
        </w:rPr>
        <w:t>1.4</w:t>
      </w:r>
      <w:r w:rsidRPr="005D61E2">
        <w:rPr>
          <w:rFonts w:ascii="Arial" w:hAnsi="Arial" w:cs="Arial"/>
        </w:rPr>
        <w:tab/>
      </w:r>
      <w:r w:rsidRPr="00456E7F">
        <w:rPr>
          <w:rFonts w:ascii="Arial" w:hAnsi="Arial" w:cs="Arial"/>
        </w:rPr>
        <w:t>The</w:t>
      </w:r>
      <w:r w:rsidRPr="005D61E2">
        <w:rPr>
          <w:rFonts w:ascii="Arial" w:hAnsi="Arial" w:cs="Arial"/>
        </w:rPr>
        <w:t xml:space="preserve"> PPP Allocations Policy is principally designed for the allocation and letting of individual properties. In many new-build developments housing associations are letting multiple properties at the same time; in this case </w:t>
      </w:r>
      <w:r w:rsidR="006B6529">
        <w:rPr>
          <w:rFonts w:ascii="Arial" w:hAnsi="Arial" w:cs="Arial"/>
        </w:rPr>
        <w:t>5</w:t>
      </w:r>
      <w:r w:rsidR="00456E7F">
        <w:rPr>
          <w:rFonts w:ascii="Arial" w:hAnsi="Arial" w:cs="Arial"/>
        </w:rPr>
        <w:t>8</w:t>
      </w:r>
      <w:r w:rsidRPr="005D61E2">
        <w:rPr>
          <w:rFonts w:ascii="Arial" w:hAnsi="Arial" w:cs="Arial"/>
        </w:rPr>
        <w:t xml:space="preserve"> new affordable rented homes. The proposal from </w:t>
      </w:r>
      <w:r w:rsidR="00456E7F">
        <w:rPr>
          <w:rFonts w:ascii="Arial" w:hAnsi="Arial" w:cs="Arial"/>
        </w:rPr>
        <w:t>One Vision Housing</w:t>
      </w:r>
      <w:r w:rsidRPr="005D61E2">
        <w:rPr>
          <w:rFonts w:ascii="Arial" w:hAnsi="Arial" w:cs="Arial"/>
        </w:rPr>
        <w:t>, below, sets out their reasoning for an LLP and how the LLP would operate.</w:t>
      </w:r>
    </w:p>
    <w:p w14:paraId="0360FE34" w14:textId="7B088133" w:rsidR="007271C9" w:rsidRDefault="006D2A71" w:rsidP="006D2A71">
      <w:pPr>
        <w:ind w:left="720" w:hanging="720"/>
        <w:rPr>
          <w:rFonts w:ascii="Arial" w:hAnsi="Arial" w:cs="Arial"/>
        </w:rPr>
      </w:pPr>
      <w:r w:rsidRPr="005D61E2">
        <w:rPr>
          <w:rFonts w:ascii="Arial" w:hAnsi="Arial" w:cs="Arial"/>
        </w:rPr>
        <w:t>1.5</w:t>
      </w:r>
      <w:r w:rsidRPr="005D61E2">
        <w:rPr>
          <w:rFonts w:ascii="Arial" w:hAnsi="Arial" w:cs="Arial"/>
        </w:rPr>
        <w:tab/>
        <w:t>In summary,</w:t>
      </w:r>
      <w:r w:rsidR="00C118D1">
        <w:rPr>
          <w:rFonts w:ascii="Arial" w:hAnsi="Arial" w:cs="Arial"/>
        </w:rPr>
        <w:t xml:space="preserve"> </w:t>
      </w:r>
      <w:proofErr w:type="gramStart"/>
      <w:r w:rsidR="004B084B" w:rsidRPr="004B084B">
        <w:rPr>
          <w:rFonts w:ascii="Arial" w:hAnsi="Arial" w:cs="Arial"/>
        </w:rPr>
        <w:t>All</w:t>
      </w:r>
      <w:proofErr w:type="gramEnd"/>
      <w:r w:rsidR="004B084B" w:rsidRPr="004B084B">
        <w:rPr>
          <w:rFonts w:ascii="Arial" w:hAnsi="Arial" w:cs="Arial"/>
        </w:rPr>
        <w:t xml:space="preserve"> allocations on this development will be subject to the agreed One Vision Housing PPP lettings criteria and 100% of the properties will be advertised via PPP.</w:t>
      </w:r>
    </w:p>
    <w:p w14:paraId="484E3F8E" w14:textId="7540CE16" w:rsidR="006D2A71" w:rsidRPr="005D61E2" w:rsidRDefault="007D6E32" w:rsidP="007271C9">
      <w:pPr>
        <w:ind w:left="720"/>
        <w:rPr>
          <w:rFonts w:ascii="Arial" w:hAnsi="Arial" w:cs="Arial"/>
        </w:rPr>
      </w:pPr>
      <w:r>
        <w:rPr>
          <w:rFonts w:ascii="Arial" w:hAnsi="Arial" w:cs="Arial"/>
        </w:rPr>
        <w:t>All propertie</w:t>
      </w:r>
      <w:r w:rsidR="00916510">
        <w:rPr>
          <w:rFonts w:ascii="Arial" w:hAnsi="Arial" w:cs="Arial"/>
        </w:rPr>
        <w:t xml:space="preserve">s will be advertised via PPP but </w:t>
      </w:r>
      <w:r w:rsidR="00C118D1">
        <w:rPr>
          <w:rFonts w:ascii="Arial" w:hAnsi="Arial" w:cs="Arial"/>
        </w:rPr>
        <w:t>p</w:t>
      </w:r>
      <w:r w:rsidR="00EF2781" w:rsidRPr="00EF2781">
        <w:rPr>
          <w:rFonts w:ascii="Arial" w:hAnsi="Arial" w:cs="Arial"/>
        </w:rPr>
        <w:t xml:space="preserve">riority for at least 24 (41%) of the properties will be given to applicants who are in employment or full-time education/training (where they can demonstrate that they have sufficient finances to pay rent). However, offers will be made in accordance with priority need. </w:t>
      </w:r>
    </w:p>
    <w:p w14:paraId="12A3780A" w14:textId="4BFFCEEB" w:rsidR="006D2A71" w:rsidRPr="005D61E2" w:rsidRDefault="006D2A71" w:rsidP="006D2A71">
      <w:pPr>
        <w:ind w:left="720"/>
        <w:rPr>
          <w:rFonts w:ascii="Arial" w:hAnsi="Arial" w:cs="Arial"/>
        </w:rPr>
      </w:pPr>
      <w:r w:rsidRPr="005D61E2">
        <w:rPr>
          <w:rFonts w:ascii="Arial" w:hAnsi="Arial" w:cs="Arial"/>
        </w:rPr>
        <w:t>Properties will be advertised to all bands with preference to those in employment or full-time education/training. However, offers will be made in accordance with priority need. This criterion is</w:t>
      </w:r>
      <w:r w:rsidRPr="002B79D0">
        <w:rPr>
          <w:rFonts w:cs="Arial"/>
        </w:rPr>
        <w:t xml:space="preserve"> </w:t>
      </w:r>
      <w:r w:rsidRPr="005D61E2">
        <w:rPr>
          <w:rFonts w:ascii="Arial" w:hAnsi="Arial" w:cs="Arial"/>
        </w:rPr>
        <w:t>to help create a sustainable and balanced community.</w:t>
      </w:r>
    </w:p>
    <w:p w14:paraId="3F724170" w14:textId="77777777" w:rsidR="007271C9" w:rsidRDefault="006D2A71" w:rsidP="00255841">
      <w:pPr>
        <w:ind w:left="720" w:hanging="720"/>
        <w:rPr>
          <w:rFonts w:ascii="Arial" w:hAnsi="Arial" w:cs="Arial"/>
        </w:rPr>
      </w:pPr>
      <w:r w:rsidRPr="005D61E2">
        <w:rPr>
          <w:rFonts w:ascii="Arial" w:hAnsi="Arial" w:cs="Arial"/>
        </w:rPr>
        <w:t xml:space="preserve">     </w:t>
      </w:r>
      <w:r w:rsidRPr="005D61E2">
        <w:rPr>
          <w:rFonts w:ascii="Arial" w:hAnsi="Arial" w:cs="Arial"/>
        </w:rPr>
        <w:tab/>
      </w:r>
      <w:r w:rsidR="00255841" w:rsidRPr="00255841">
        <w:rPr>
          <w:rFonts w:ascii="Arial" w:hAnsi="Arial" w:cs="Arial"/>
        </w:rPr>
        <w:t xml:space="preserve">There are 10 ground floor apartments with level access showers/ wet rooms. The apartments are not wheelchair accessible. Preference will be given to those customers with limited mobility. Medical or Occupational Therapy evidence will be requested from applicants for these apartments. </w:t>
      </w:r>
    </w:p>
    <w:p w14:paraId="45924E3A" w14:textId="16683A49" w:rsidR="0072742C" w:rsidRDefault="0072742C" w:rsidP="00255841">
      <w:pPr>
        <w:ind w:left="720" w:hanging="720"/>
        <w:rPr>
          <w:rFonts w:ascii="Arial" w:hAnsi="Arial" w:cs="Arial"/>
        </w:rPr>
      </w:pPr>
      <w:r>
        <w:rPr>
          <w:rFonts w:ascii="Arial" w:hAnsi="Arial" w:cs="Arial"/>
        </w:rPr>
        <w:tab/>
      </w:r>
      <w:r w:rsidRPr="0072742C">
        <w:rPr>
          <w:rFonts w:ascii="Arial" w:hAnsi="Arial" w:cs="Arial"/>
        </w:rPr>
        <w:t>Applicants will undergo an affordability assessment before an offer is confirmed, whereby the local letting criteria, and any additional checks that may be necessary, will be discussed in detail. During this interview, applicants will be required to demonstrate they understand their responsibilities as a tenant to respect their neighbours and can maintain and sustain their tenancy.</w:t>
      </w:r>
    </w:p>
    <w:p w14:paraId="2B87F8B8" w14:textId="6E391037" w:rsidR="003C1F12" w:rsidRDefault="003C1F12" w:rsidP="00255841">
      <w:pPr>
        <w:ind w:left="720" w:hanging="720"/>
        <w:rPr>
          <w:rFonts w:ascii="Arial" w:hAnsi="Arial" w:cs="Arial"/>
        </w:rPr>
      </w:pPr>
      <w:r>
        <w:rPr>
          <w:rFonts w:ascii="Arial" w:hAnsi="Arial" w:cs="Arial"/>
        </w:rPr>
        <w:tab/>
      </w:r>
      <w:r w:rsidRPr="003C1F12">
        <w:rPr>
          <w:rFonts w:ascii="Arial" w:hAnsi="Arial" w:cs="Arial"/>
        </w:rPr>
        <w:t>Applicants with a criminal record and/or a history of antisocial behaviour will be considered in the context of whether they are suitable to be a tenant in line with the Property Pool Plus Policy. If there is concern their activities have not abated and will have a negative impact on these properties, neighbours or surrounding community, an offer may not be made or withdrawn. This will be subject to information provided through a police check.</w:t>
      </w:r>
    </w:p>
    <w:bookmarkEnd w:id="0"/>
    <w:p w14:paraId="3693ADA7" w14:textId="77777777" w:rsidR="00494768" w:rsidRPr="00494768" w:rsidRDefault="00494768" w:rsidP="00494768">
      <w:pPr>
        <w:rPr>
          <w:rFonts w:ascii="Arial" w:hAnsi="Arial" w:cs="Arial"/>
          <w:b/>
        </w:rPr>
      </w:pPr>
      <w:r w:rsidRPr="00494768">
        <w:rPr>
          <w:rFonts w:ascii="Arial" w:hAnsi="Arial" w:cs="Arial"/>
          <w:b/>
        </w:rPr>
        <w:t>2</w:t>
      </w:r>
      <w:r w:rsidRPr="00494768">
        <w:rPr>
          <w:rFonts w:ascii="Arial" w:hAnsi="Arial" w:cs="Arial"/>
          <w:bCs/>
        </w:rPr>
        <w:t xml:space="preserve">. </w:t>
      </w:r>
      <w:r w:rsidRPr="00494768">
        <w:rPr>
          <w:rFonts w:ascii="Arial" w:hAnsi="Arial" w:cs="Arial"/>
          <w:bCs/>
        </w:rPr>
        <w:tab/>
      </w:r>
      <w:r w:rsidRPr="00494768">
        <w:rPr>
          <w:rFonts w:ascii="Arial" w:hAnsi="Arial" w:cs="Arial"/>
          <w:b/>
        </w:rPr>
        <w:t>Financial Implications</w:t>
      </w:r>
    </w:p>
    <w:p w14:paraId="5A79A0B4" w14:textId="5CD9A210" w:rsidR="00494768" w:rsidRDefault="00A46C60" w:rsidP="00494768">
      <w:pPr>
        <w:rPr>
          <w:rFonts w:ascii="Arial" w:hAnsi="Arial" w:cs="Arial"/>
          <w:bCs/>
        </w:rPr>
      </w:pPr>
      <w:r w:rsidRPr="005D61E2">
        <w:rPr>
          <w:rFonts w:ascii="Arial" w:hAnsi="Arial" w:cs="Arial"/>
          <w:bCs/>
        </w:rPr>
        <w:t>2.1</w:t>
      </w:r>
      <w:r w:rsidRPr="005D61E2">
        <w:rPr>
          <w:rFonts w:ascii="Arial" w:hAnsi="Arial" w:cs="Arial"/>
          <w:bCs/>
        </w:rPr>
        <w:tab/>
        <w:t xml:space="preserve">There are no financial implications </w:t>
      </w:r>
      <w:proofErr w:type="gramStart"/>
      <w:r w:rsidRPr="005D61E2">
        <w:rPr>
          <w:rFonts w:ascii="Arial" w:hAnsi="Arial" w:cs="Arial"/>
          <w:bCs/>
        </w:rPr>
        <w:t>as a result of</w:t>
      </w:r>
      <w:proofErr w:type="gramEnd"/>
      <w:r w:rsidRPr="005D61E2">
        <w:rPr>
          <w:rFonts w:ascii="Arial" w:hAnsi="Arial" w:cs="Arial"/>
          <w:bCs/>
        </w:rPr>
        <w:t xml:space="preserve"> this </w:t>
      </w:r>
      <w:r w:rsidR="005D61E2" w:rsidRPr="005D61E2">
        <w:rPr>
          <w:rFonts w:ascii="Arial" w:hAnsi="Arial" w:cs="Arial"/>
          <w:bCs/>
        </w:rPr>
        <w:t>Local Lettings Plan.</w:t>
      </w:r>
    </w:p>
    <w:p w14:paraId="04FDC220" w14:textId="77777777" w:rsidR="00C70520" w:rsidRPr="005D61E2" w:rsidRDefault="00C70520" w:rsidP="00494768">
      <w:pPr>
        <w:rPr>
          <w:rFonts w:ascii="Arial" w:hAnsi="Arial" w:cs="Arial"/>
          <w:bCs/>
        </w:rPr>
      </w:pPr>
    </w:p>
    <w:p w14:paraId="07170CB6" w14:textId="77777777" w:rsidR="00494768" w:rsidRPr="00494768" w:rsidRDefault="00494768" w:rsidP="00494768">
      <w:pPr>
        <w:rPr>
          <w:rFonts w:ascii="Arial" w:hAnsi="Arial" w:cs="Arial"/>
          <w:b/>
        </w:rPr>
      </w:pPr>
      <w:r w:rsidRPr="00494768">
        <w:rPr>
          <w:rFonts w:ascii="Arial" w:hAnsi="Arial" w:cs="Arial"/>
          <w:b/>
        </w:rPr>
        <w:lastRenderedPageBreak/>
        <w:t>3.</w:t>
      </w:r>
      <w:r w:rsidRPr="00494768">
        <w:rPr>
          <w:rFonts w:ascii="Arial" w:hAnsi="Arial" w:cs="Arial"/>
          <w:b/>
        </w:rPr>
        <w:tab/>
        <w:t>Legal Implications</w:t>
      </w:r>
    </w:p>
    <w:p w14:paraId="1A4F4423" w14:textId="01E7796A" w:rsidR="00494768" w:rsidRPr="00A46C60" w:rsidRDefault="00A46C60" w:rsidP="00A46C60">
      <w:pPr>
        <w:ind w:left="720" w:hanging="720"/>
        <w:rPr>
          <w:rFonts w:ascii="Arial" w:hAnsi="Arial" w:cs="Arial"/>
          <w:bCs/>
        </w:rPr>
      </w:pPr>
      <w:r w:rsidRPr="00A46C60">
        <w:rPr>
          <w:rFonts w:ascii="Arial" w:hAnsi="Arial" w:cs="Arial"/>
          <w:bCs/>
        </w:rPr>
        <w:t>3.1</w:t>
      </w:r>
      <w:r w:rsidRPr="00A46C60">
        <w:rPr>
          <w:rFonts w:ascii="Arial" w:hAnsi="Arial" w:cs="Arial"/>
          <w:bCs/>
        </w:rPr>
        <w:tab/>
        <w:t>Section 167 of the Housing Act 1996 requires Local Housing Authorities to have an Allocations scheme for determining priorities in allocating housing accommodation.</w:t>
      </w:r>
    </w:p>
    <w:p w14:paraId="6DF5B805" w14:textId="2A451C23" w:rsidR="00494768" w:rsidRPr="00494768" w:rsidRDefault="00494768" w:rsidP="00494768">
      <w:pPr>
        <w:rPr>
          <w:rFonts w:ascii="Arial" w:hAnsi="Arial" w:cs="Arial"/>
          <w:b/>
        </w:rPr>
      </w:pPr>
      <w:r w:rsidRPr="00494768">
        <w:rPr>
          <w:rFonts w:ascii="Arial" w:hAnsi="Arial" w:cs="Arial"/>
          <w:b/>
        </w:rPr>
        <w:t>4.</w:t>
      </w:r>
      <w:r w:rsidRPr="00494768">
        <w:rPr>
          <w:rFonts w:ascii="Arial" w:hAnsi="Arial" w:cs="Arial"/>
          <w:b/>
        </w:rPr>
        <w:tab/>
        <w:t>Risk Implications</w:t>
      </w:r>
    </w:p>
    <w:p w14:paraId="06A198B2" w14:textId="75393D71" w:rsidR="00494768" w:rsidRPr="00EB6D84" w:rsidRDefault="004435CD" w:rsidP="00494768">
      <w:pPr>
        <w:rPr>
          <w:rFonts w:ascii="Arial" w:hAnsi="Arial" w:cs="Arial"/>
          <w:bCs/>
        </w:rPr>
      </w:pPr>
      <w:r w:rsidRPr="00EB6D84">
        <w:rPr>
          <w:rFonts w:ascii="Arial" w:hAnsi="Arial" w:cs="Arial"/>
          <w:bCs/>
        </w:rPr>
        <w:t>4.1</w:t>
      </w:r>
      <w:r w:rsidRPr="00EB6D84">
        <w:rPr>
          <w:rFonts w:ascii="Arial" w:hAnsi="Arial" w:cs="Arial"/>
          <w:bCs/>
        </w:rPr>
        <w:tab/>
        <w:t>There are ve</w:t>
      </w:r>
      <w:r w:rsidR="00710302" w:rsidRPr="00EB6D84">
        <w:rPr>
          <w:rFonts w:ascii="Arial" w:hAnsi="Arial" w:cs="Arial"/>
          <w:bCs/>
        </w:rPr>
        <w:t xml:space="preserve">ry </w:t>
      </w:r>
      <w:r w:rsidR="00EB6D84">
        <w:rPr>
          <w:rFonts w:ascii="Arial" w:hAnsi="Arial" w:cs="Arial"/>
          <w:bCs/>
        </w:rPr>
        <w:t>little</w:t>
      </w:r>
      <w:r w:rsidR="00710302" w:rsidRPr="00EB6D84">
        <w:rPr>
          <w:rFonts w:ascii="Arial" w:hAnsi="Arial" w:cs="Arial"/>
          <w:bCs/>
        </w:rPr>
        <w:t xml:space="preserve"> risk associated with the approval of this Local Lettings Plan</w:t>
      </w:r>
      <w:r w:rsidR="00EB6D84" w:rsidRPr="00EB6D84">
        <w:rPr>
          <w:rFonts w:ascii="Arial" w:hAnsi="Arial" w:cs="Arial"/>
          <w:bCs/>
        </w:rPr>
        <w:t>.</w:t>
      </w:r>
    </w:p>
    <w:p w14:paraId="006BA854" w14:textId="77777777" w:rsidR="00494768" w:rsidRPr="00494768" w:rsidRDefault="00494768" w:rsidP="00494768">
      <w:pPr>
        <w:rPr>
          <w:rFonts w:ascii="Arial" w:hAnsi="Arial" w:cs="Arial"/>
          <w:b/>
        </w:rPr>
      </w:pPr>
      <w:r w:rsidRPr="00494768">
        <w:rPr>
          <w:rFonts w:ascii="Arial" w:hAnsi="Arial" w:cs="Arial"/>
          <w:b/>
        </w:rPr>
        <w:t xml:space="preserve">5 </w:t>
      </w:r>
      <w:r w:rsidRPr="00494768">
        <w:rPr>
          <w:rFonts w:ascii="Arial" w:hAnsi="Arial" w:cs="Arial"/>
          <w:b/>
        </w:rPr>
        <w:tab/>
        <w:t xml:space="preserve">Staffing HR Implications  </w:t>
      </w:r>
    </w:p>
    <w:p w14:paraId="3D2552D1" w14:textId="4049E0F6" w:rsidR="00494768" w:rsidRPr="00494768" w:rsidRDefault="00EB6D84" w:rsidP="00494768">
      <w:pPr>
        <w:rPr>
          <w:rFonts w:ascii="Arial" w:hAnsi="Arial" w:cs="Arial"/>
          <w:bCs/>
        </w:rPr>
      </w:pPr>
      <w:r>
        <w:rPr>
          <w:rFonts w:ascii="Arial" w:hAnsi="Arial" w:cs="Arial"/>
          <w:bCs/>
        </w:rPr>
        <w:t>5.1</w:t>
      </w:r>
      <w:r>
        <w:rPr>
          <w:rFonts w:ascii="Arial" w:hAnsi="Arial" w:cs="Arial"/>
          <w:bCs/>
        </w:rPr>
        <w:tab/>
        <w:t xml:space="preserve">There are no direct staffing implications </w:t>
      </w:r>
      <w:proofErr w:type="gramStart"/>
      <w:r>
        <w:rPr>
          <w:rFonts w:ascii="Arial" w:hAnsi="Arial" w:cs="Arial"/>
          <w:bCs/>
        </w:rPr>
        <w:t>as a result of</w:t>
      </w:r>
      <w:proofErr w:type="gramEnd"/>
      <w:r>
        <w:rPr>
          <w:rFonts w:ascii="Arial" w:hAnsi="Arial" w:cs="Arial"/>
          <w:bCs/>
        </w:rPr>
        <w:t xml:space="preserve"> this decision.</w:t>
      </w:r>
    </w:p>
    <w:p w14:paraId="5BE6ED86" w14:textId="77777777" w:rsidR="00494768" w:rsidRPr="00494768" w:rsidRDefault="00494768" w:rsidP="00494768">
      <w:pPr>
        <w:rPr>
          <w:rFonts w:ascii="Arial" w:hAnsi="Arial" w:cs="Arial"/>
          <w:bCs/>
        </w:rPr>
      </w:pPr>
      <w:r w:rsidRPr="00494768">
        <w:rPr>
          <w:rFonts w:ascii="Arial" w:hAnsi="Arial" w:cs="Arial"/>
          <w:b/>
        </w:rPr>
        <w:t>6</w:t>
      </w:r>
      <w:r w:rsidRPr="00494768">
        <w:rPr>
          <w:rFonts w:ascii="Arial" w:hAnsi="Arial" w:cs="Arial"/>
          <w:bCs/>
        </w:rPr>
        <w:t xml:space="preserve"> </w:t>
      </w:r>
      <w:r w:rsidRPr="00494768">
        <w:rPr>
          <w:rFonts w:ascii="Arial" w:hAnsi="Arial" w:cs="Arial"/>
          <w:bCs/>
        </w:rPr>
        <w:tab/>
      </w:r>
      <w:r w:rsidRPr="00494768">
        <w:rPr>
          <w:rFonts w:ascii="Arial" w:hAnsi="Arial" w:cs="Arial"/>
          <w:b/>
        </w:rPr>
        <w:t>Conclusion</w:t>
      </w:r>
    </w:p>
    <w:p w14:paraId="524F8401" w14:textId="291E3AB2" w:rsidR="00494768" w:rsidRPr="00494768" w:rsidRDefault="00E432E7" w:rsidP="00E432E7">
      <w:pPr>
        <w:ind w:left="720" w:hanging="720"/>
        <w:rPr>
          <w:rFonts w:ascii="Arial" w:hAnsi="Arial" w:cs="Arial"/>
          <w:bCs/>
        </w:rPr>
      </w:pPr>
      <w:r>
        <w:rPr>
          <w:rFonts w:ascii="Arial" w:hAnsi="Arial" w:cs="Arial"/>
          <w:bCs/>
        </w:rPr>
        <w:t>6.1</w:t>
      </w:r>
      <w:r>
        <w:rPr>
          <w:rFonts w:ascii="Arial" w:hAnsi="Arial" w:cs="Arial"/>
          <w:bCs/>
        </w:rPr>
        <w:tab/>
      </w:r>
      <w:r w:rsidRPr="00E432E7">
        <w:rPr>
          <w:rFonts w:ascii="Arial" w:hAnsi="Arial" w:cs="Arial"/>
          <w:bCs/>
        </w:rPr>
        <w:t xml:space="preserve">The proposal will assist </w:t>
      </w:r>
      <w:r w:rsidR="009627C0">
        <w:rPr>
          <w:rFonts w:ascii="Arial" w:hAnsi="Arial" w:cs="Arial"/>
          <w:bCs/>
        </w:rPr>
        <w:t>One Vision</w:t>
      </w:r>
      <w:r w:rsidRPr="00E432E7">
        <w:rPr>
          <w:rFonts w:ascii="Arial" w:hAnsi="Arial" w:cs="Arial"/>
          <w:bCs/>
        </w:rPr>
        <w:t xml:space="preserve"> (the provider) achieve a balanced community and a mix of people for the new build development in </w:t>
      </w:r>
      <w:r w:rsidR="009627C0">
        <w:rPr>
          <w:rFonts w:ascii="Arial" w:hAnsi="Arial" w:cs="Arial"/>
          <w:bCs/>
        </w:rPr>
        <w:t>Netherton</w:t>
      </w:r>
      <w:r w:rsidRPr="00E432E7">
        <w:rPr>
          <w:rFonts w:ascii="Arial" w:hAnsi="Arial" w:cs="Arial"/>
          <w:bCs/>
        </w:rPr>
        <w:t>, whilst still providing housing for those residents most in need.</w:t>
      </w:r>
    </w:p>
    <w:p w14:paraId="4F87FB65" w14:textId="77777777" w:rsidR="00494768" w:rsidRDefault="00494768" w:rsidP="00494768">
      <w:pPr>
        <w:rPr>
          <w:rFonts w:ascii="Arial" w:hAnsi="Arial" w:cs="Arial"/>
          <w:b/>
          <w:bCs/>
        </w:rPr>
      </w:pPr>
      <w:r w:rsidRPr="00494768">
        <w:rPr>
          <w:rFonts w:ascii="Arial" w:hAnsi="Arial" w:cs="Arial"/>
          <w:b/>
          <w:bCs/>
        </w:rPr>
        <w:t>Alternative Options Considered and Rejected</w:t>
      </w:r>
    </w:p>
    <w:p w14:paraId="68541A4A" w14:textId="1A6B301E" w:rsidR="00494768" w:rsidRPr="00494768" w:rsidRDefault="004A48B8" w:rsidP="00494768">
      <w:pPr>
        <w:rPr>
          <w:rFonts w:ascii="Arial" w:hAnsi="Arial" w:cs="Arial"/>
          <w:bCs/>
        </w:rPr>
      </w:pPr>
      <w:r w:rsidRPr="004A48B8">
        <w:rPr>
          <w:rFonts w:ascii="Arial" w:hAnsi="Arial" w:cs="Arial"/>
          <w:bCs/>
        </w:rPr>
        <w:t xml:space="preserve">The Council could withhold approval from </w:t>
      </w:r>
      <w:r w:rsidR="0058565B">
        <w:rPr>
          <w:rFonts w:ascii="Arial" w:hAnsi="Arial" w:cs="Arial"/>
          <w:bCs/>
        </w:rPr>
        <w:t>One Vision</w:t>
      </w:r>
      <w:r w:rsidRPr="004A48B8">
        <w:rPr>
          <w:rFonts w:ascii="Arial" w:hAnsi="Arial" w:cs="Arial"/>
          <w:bCs/>
        </w:rPr>
        <w:t xml:space="preserve"> to operate a Local Lettings scheme</w:t>
      </w:r>
      <w:r>
        <w:rPr>
          <w:rFonts w:ascii="Arial" w:hAnsi="Arial" w:cs="Arial"/>
          <w:bCs/>
        </w:rPr>
        <w:t xml:space="preserve">, although this could </w:t>
      </w:r>
      <w:r w:rsidR="00964BEC">
        <w:rPr>
          <w:rFonts w:ascii="Arial" w:hAnsi="Arial" w:cs="Arial"/>
          <w:bCs/>
        </w:rPr>
        <w:t xml:space="preserve">be disadvantageous to both the community that they are trying to create </w:t>
      </w:r>
      <w:r w:rsidR="00186C90">
        <w:rPr>
          <w:rFonts w:ascii="Arial" w:hAnsi="Arial" w:cs="Arial"/>
          <w:bCs/>
        </w:rPr>
        <w:t>and to the Council’s working relationship with the organisation.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2"/>
      </w:tblGrid>
      <w:tr w:rsidR="00494768" w:rsidRPr="00494768" w14:paraId="0C4B911A" w14:textId="77777777" w:rsidTr="001C1BB3">
        <w:tc>
          <w:tcPr>
            <w:tcW w:w="9568" w:type="dxa"/>
            <w:tcBorders>
              <w:top w:val="single" w:sz="4" w:space="0" w:color="auto"/>
              <w:left w:val="single" w:sz="4" w:space="0" w:color="auto"/>
              <w:bottom w:val="single" w:sz="4" w:space="0" w:color="auto"/>
              <w:right w:val="single" w:sz="4" w:space="0" w:color="auto"/>
            </w:tcBorders>
          </w:tcPr>
          <w:p w14:paraId="7D8165B7" w14:textId="77777777" w:rsidR="00494768" w:rsidRPr="00494768" w:rsidRDefault="00494768" w:rsidP="001C1BB3">
            <w:pPr>
              <w:rPr>
                <w:rFonts w:ascii="Arial" w:hAnsi="Arial" w:cs="Arial"/>
                <w:b/>
                <w:bCs/>
              </w:rPr>
            </w:pPr>
            <w:r w:rsidRPr="00494768">
              <w:rPr>
                <w:rFonts w:ascii="Arial" w:hAnsi="Arial" w:cs="Arial"/>
                <w:b/>
                <w:bCs/>
              </w:rPr>
              <w:t>Equality Implications:</w:t>
            </w:r>
          </w:p>
          <w:p w14:paraId="7BF54B02" w14:textId="20B7CF3B" w:rsidR="001D4A09" w:rsidRPr="00186C90" w:rsidRDefault="00494768" w:rsidP="001C1BB3">
            <w:pPr>
              <w:rPr>
                <w:rFonts w:ascii="Arial" w:hAnsi="Arial" w:cs="Arial"/>
              </w:rPr>
            </w:pPr>
            <w:r w:rsidRPr="00475A86">
              <w:rPr>
                <w:rFonts w:ascii="Arial" w:hAnsi="Arial" w:cs="Arial"/>
              </w:rPr>
              <w:t>The equality Implications have been identified and risk remains, as detailed in the report.</w:t>
            </w:r>
          </w:p>
        </w:tc>
      </w:tr>
      <w:tr w:rsidR="00494768" w:rsidRPr="00494768" w14:paraId="1D685A77" w14:textId="77777777" w:rsidTr="001C1BB3">
        <w:tc>
          <w:tcPr>
            <w:tcW w:w="9568" w:type="dxa"/>
            <w:tcBorders>
              <w:top w:val="single" w:sz="4" w:space="0" w:color="auto"/>
              <w:left w:val="single" w:sz="4" w:space="0" w:color="auto"/>
              <w:bottom w:val="single" w:sz="4" w:space="0" w:color="auto"/>
              <w:right w:val="single" w:sz="4" w:space="0" w:color="auto"/>
            </w:tcBorders>
          </w:tcPr>
          <w:p w14:paraId="4A0A5236" w14:textId="45A40811" w:rsidR="00494768" w:rsidRPr="00494768" w:rsidRDefault="00494768" w:rsidP="001C1BB3">
            <w:pPr>
              <w:rPr>
                <w:rFonts w:ascii="Arial" w:hAnsi="Arial" w:cs="Arial"/>
                <w:b/>
                <w:bCs/>
              </w:rPr>
            </w:pPr>
            <w:r w:rsidRPr="00494768">
              <w:rPr>
                <w:rFonts w:ascii="Arial" w:hAnsi="Arial" w:cs="Arial"/>
                <w:b/>
                <w:bCs/>
              </w:rPr>
              <w:t xml:space="preserve">Impact on Children and Young People: </w:t>
            </w:r>
          </w:p>
          <w:p w14:paraId="79B4853C" w14:textId="47D66FCA" w:rsidR="00494768" w:rsidRPr="00212E92" w:rsidRDefault="001E6CFE" w:rsidP="001C1BB3">
            <w:pPr>
              <w:rPr>
                <w:rFonts w:ascii="Arial" w:hAnsi="Arial" w:cs="Arial"/>
              </w:rPr>
            </w:pPr>
            <w:r w:rsidRPr="00212E92">
              <w:rPr>
                <w:rFonts w:ascii="Arial" w:hAnsi="Arial" w:cs="Arial"/>
              </w:rPr>
              <w:t xml:space="preserve">This will have a positive impact on children and young people, particularly on those </w:t>
            </w:r>
            <w:r w:rsidR="00212E92" w:rsidRPr="00212E92">
              <w:rPr>
                <w:rFonts w:ascii="Arial" w:hAnsi="Arial" w:cs="Arial"/>
              </w:rPr>
              <w:t xml:space="preserve">who are allocated these new build properties in </w:t>
            </w:r>
            <w:r w:rsidR="0058565B">
              <w:rPr>
                <w:rFonts w:ascii="Arial" w:hAnsi="Arial" w:cs="Arial"/>
              </w:rPr>
              <w:t>Netherton</w:t>
            </w:r>
            <w:r w:rsidR="00212E92" w:rsidRPr="00212E92">
              <w:rPr>
                <w:rFonts w:ascii="Arial" w:hAnsi="Arial" w:cs="Arial"/>
              </w:rPr>
              <w:t>.</w:t>
            </w:r>
          </w:p>
        </w:tc>
      </w:tr>
      <w:tr w:rsidR="00494768" w:rsidRPr="00494768" w14:paraId="659996F3" w14:textId="77777777" w:rsidTr="001C1BB3">
        <w:tc>
          <w:tcPr>
            <w:tcW w:w="9568" w:type="dxa"/>
            <w:tcBorders>
              <w:top w:val="single" w:sz="4" w:space="0" w:color="auto"/>
              <w:left w:val="single" w:sz="4" w:space="0" w:color="auto"/>
              <w:bottom w:val="single" w:sz="4" w:space="0" w:color="auto"/>
              <w:right w:val="single" w:sz="4" w:space="0" w:color="auto"/>
            </w:tcBorders>
          </w:tcPr>
          <w:p w14:paraId="476350E3" w14:textId="77777777" w:rsidR="00494768" w:rsidRPr="00494768" w:rsidRDefault="00494768" w:rsidP="001C1BB3">
            <w:pPr>
              <w:rPr>
                <w:rFonts w:ascii="Arial" w:hAnsi="Arial" w:cs="Arial"/>
                <w:b/>
                <w:bCs/>
              </w:rPr>
            </w:pPr>
            <w:r w:rsidRPr="00494768">
              <w:rPr>
                <w:rFonts w:ascii="Arial" w:hAnsi="Arial" w:cs="Arial"/>
                <w:b/>
                <w:bCs/>
              </w:rPr>
              <w:t xml:space="preserve">Climate Emergency Implications:  </w:t>
            </w:r>
          </w:p>
          <w:p w14:paraId="7C8AB59F" w14:textId="1BBAA23F" w:rsidR="00494768" w:rsidRPr="00494768" w:rsidRDefault="00494768" w:rsidP="001C1BB3">
            <w:pPr>
              <w:rPr>
                <w:rFonts w:ascii="Arial" w:hAnsi="Arial" w:cs="Arial"/>
              </w:rPr>
            </w:pPr>
            <w:r w:rsidRPr="00494768">
              <w:rPr>
                <w:rFonts w:ascii="Arial" w:hAnsi="Arial" w:cs="Arial"/>
              </w:rPr>
              <w:t>The recommendations within this report will have a Neutral impact.</w:t>
            </w:r>
          </w:p>
          <w:p w14:paraId="280F14B1" w14:textId="57E1F570" w:rsidR="00494768" w:rsidRPr="008C0A83" w:rsidRDefault="00C51F51" w:rsidP="00C51F51">
            <w:pPr>
              <w:spacing w:after="0"/>
              <w:rPr>
                <w:rFonts w:ascii="Arial" w:eastAsia="Times New Roman" w:hAnsi="Arial" w:cs="Arial"/>
              </w:rPr>
            </w:pPr>
            <w:r w:rsidRPr="00C51F51">
              <w:rPr>
                <w:rFonts w:ascii="Arial" w:eastAsia="Times New Roman" w:hAnsi="Arial" w:cs="Arial"/>
              </w:rPr>
              <w:t>There are no direct climate emergency implications arising from this report. Any climate</w:t>
            </w:r>
            <w:r w:rsidR="008C0A83">
              <w:rPr>
                <w:rFonts w:ascii="Arial" w:eastAsia="Times New Roman" w:hAnsi="Arial" w:cs="Arial"/>
              </w:rPr>
              <w:t xml:space="preserve"> </w:t>
            </w:r>
            <w:r w:rsidRPr="00C51F51">
              <w:rPr>
                <w:rFonts w:ascii="Arial" w:eastAsia="Times New Roman" w:hAnsi="Arial" w:cs="Arial"/>
              </w:rPr>
              <w:t>emergency implications arising from matters referred to in the Cabinet Member Report</w:t>
            </w:r>
            <w:r w:rsidR="008C0A83">
              <w:rPr>
                <w:rFonts w:ascii="Arial" w:eastAsia="Times New Roman" w:hAnsi="Arial" w:cs="Arial"/>
              </w:rPr>
              <w:t xml:space="preserve"> </w:t>
            </w:r>
            <w:r w:rsidRPr="00C51F51">
              <w:rPr>
                <w:rFonts w:ascii="Arial" w:eastAsia="Times New Roman" w:hAnsi="Arial" w:cs="Arial"/>
              </w:rPr>
              <w:t>will be contained in reports when they are presented to Members at the appropriate</w:t>
            </w:r>
            <w:r w:rsidR="008C0A83">
              <w:rPr>
                <w:rFonts w:ascii="Arial" w:eastAsia="Times New Roman" w:hAnsi="Arial" w:cs="Arial"/>
              </w:rPr>
              <w:t xml:space="preserve"> </w:t>
            </w:r>
            <w:r w:rsidRPr="00C51F51">
              <w:rPr>
                <w:rFonts w:ascii="Arial" w:eastAsia="Times New Roman" w:hAnsi="Arial" w:cs="Arial"/>
              </w:rPr>
              <w:t>time.</w:t>
            </w:r>
          </w:p>
        </w:tc>
      </w:tr>
    </w:tbl>
    <w:p w14:paraId="64183462" w14:textId="77777777" w:rsidR="00494768" w:rsidRPr="00494768" w:rsidRDefault="00494768" w:rsidP="00494768">
      <w:pPr>
        <w:rPr>
          <w:rFonts w:ascii="Arial" w:hAnsi="Arial" w:cs="Arial"/>
          <w:b/>
          <w:bCs/>
        </w:rPr>
      </w:pPr>
    </w:p>
    <w:p w14:paraId="4BB9BB25" w14:textId="202A3B57" w:rsidR="00494768" w:rsidRPr="00113CCE" w:rsidRDefault="00494768" w:rsidP="00494768">
      <w:pPr>
        <w:rPr>
          <w:rFonts w:ascii="Arial" w:hAnsi="Arial" w:cs="Arial"/>
          <w:b/>
          <w:bCs/>
        </w:rPr>
      </w:pPr>
      <w:r w:rsidRPr="00494768">
        <w:rPr>
          <w:rFonts w:ascii="Arial" w:hAnsi="Arial" w:cs="Arial"/>
          <w:b/>
          <w:bCs/>
        </w:rPr>
        <w:t>What consultations have taken place on the proposals and when?</w:t>
      </w:r>
    </w:p>
    <w:p w14:paraId="45A13494" w14:textId="741F8573" w:rsidR="00494768" w:rsidRPr="00834E9F" w:rsidRDefault="00494768" w:rsidP="00494768">
      <w:pPr>
        <w:rPr>
          <w:rFonts w:ascii="Arial" w:hAnsi="Arial" w:cs="Arial"/>
          <w:b/>
          <w:bCs/>
        </w:rPr>
      </w:pPr>
      <w:r w:rsidRPr="00494768">
        <w:rPr>
          <w:rFonts w:ascii="Arial" w:hAnsi="Arial" w:cs="Arial"/>
          <w:b/>
          <w:bCs/>
        </w:rPr>
        <w:t>(A)</w:t>
      </w:r>
      <w:r w:rsidRPr="00494768">
        <w:rPr>
          <w:rFonts w:ascii="Arial" w:hAnsi="Arial" w:cs="Arial"/>
          <w:b/>
          <w:bCs/>
        </w:rPr>
        <w:tab/>
        <w:t>Internal Consultations</w:t>
      </w:r>
    </w:p>
    <w:p w14:paraId="546ADDE4" w14:textId="06C737B6" w:rsidR="00494768" w:rsidRPr="00494768" w:rsidRDefault="00494768" w:rsidP="00494768">
      <w:pPr>
        <w:rPr>
          <w:rFonts w:ascii="Arial" w:hAnsi="Arial" w:cs="Arial"/>
        </w:rPr>
      </w:pPr>
      <w:r w:rsidRPr="00494768">
        <w:rPr>
          <w:rFonts w:ascii="Arial" w:hAnsi="Arial" w:cs="Arial"/>
        </w:rPr>
        <w:t xml:space="preserve">The </w:t>
      </w:r>
      <w:r w:rsidRPr="00494768">
        <w:rPr>
          <w:rFonts w:ascii="Arial" w:hAnsi="Arial" w:cs="Arial"/>
          <w:lang w:eastAsia="en-GB"/>
        </w:rPr>
        <w:t>Executive Director of Corporate Services</w:t>
      </w:r>
      <w:r w:rsidRPr="00494768">
        <w:rPr>
          <w:rFonts w:ascii="Arial" w:hAnsi="Arial" w:cs="Arial"/>
        </w:rPr>
        <w:t xml:space="preserve"> </w:t>
      </w:r>
      <w:r w:rsidR="00952BE3">
        <w:rPr>
          <w:rFonts w:ascii="Arial" w:hAnsi="Arial" w:cs="Arial"/>
        </w:rPr>
        <w:t xml:space="preserve">&amp; Commercial </w:t>
      </w:r>
      <w:r w:rsidRPr="00494768">
        <w:rPr>
          <w:rFonts w:ascii="Arial" w:hAnsi="Arial" w:cs="Arial"/>
        </w:rPr>
        <w:t>(FD</w:t>
      </w:r>
      <w:r w:rsidR="00212E92">
        <w:rPr>
          <w:rFonts w:ascii="Arial" w:hAnsi="Arial" w:cs="Arial"/>
        </w:rPr>
        <w:t xml:space="preserve"> </w:t>
      </w:r>
      <w:r w:rsidR="00952BE3">
        <w:rPr>
          <w:rFonts w:ascii="Arial" w:hAnsi="Arial" w:cs="Arial"/>
        </w:rPr>
        <w:t>7790/24</w:t>
      </w:r>
      <w:r w:rsidRPr="00494768">
        <w:rPr>
          <w:rFonts w:ascii="Arial" w:hAnsi="Arial" w:cs="Arial"/>
        </w:rPr>
        <w:t xml:space="preserve">) </w:t>
      </w:r>
      <w:r w:rsidR="00EA44BB">
        <w:rPr>
          <w:rFonts w:ascii="Arial" w:hAnsi="Arial" w:cs="Arial"/>
        </w:rPr>
        <w:t xml:space="preserve">has been consulted </w:t>
      </w:r>
      <w:r w:rsidR="0091291A" w:rsidRPr="0091291A">
        <w:rPr>
          <w:rFonts w:ascii="Arial" w:hAnsi="Arial" w:cs="Arial"/>
        </w:rPr>
        <w:t>and notes the report indicates no direct financial implications for the Council in respect of these proposals</w:t>
      </w:r>
      <w:r w:rsidR="00FB6251">
        <w:rPr>
          <w:rFonts w:ascii="Arial" w:hAnsi="Arial" w:cs="Arial"/>
        </w:rPr>
        <w:t>.</w:t>
      </w:r>
    </w:p>
    <w:p w14:paraId="22CF62A6" w14:textId="04CD2A2B" w:rsidR="00494768" w:rsidRPr="009B6BBA" w:rsidRDefault="009B6BBA" w:rsidP="00494768">
      <w:pPr>
        <w:rPr>
          <w:rFonts w:ascii="Arial" w:hAnsi="Arial" w:cs="Arial"/>
        </w:rPr>
      </w:pPr>
      <w:r w:rsidRPr="009B6BBA">
        <w:rPr>
          <w:rFonts w:ascii="Arial" w:hAnsi="Arial" w:cs="Arial"/>
        </w:rPr>
        <w:lastRenderedPageBreak/>
        <w:t xml:space="preserve">Chief Legal and Democratic Officer has been consulted and has no comments on the report (LD </w:t>
      </w:r>
      <w:r w:rsidR="00745B18">
        <w:rPr>
          <w:rFonts w:ascii="Arial" w:hAnsi="Arial" w:cs="Arial"/>
        </w:rPr>
        <w:t>5890/24</w:t>
      </w:r>
      <w:r w:rsidRPr="009B6BBA">
        <w:rPr>
          <w:rFonts w:ascii="Arial" w:hAnsi="Arial" w:cs="Arial"/>
        </w:rPr>
        <w:t>)</w:t>
      </w:r>
      <w:r>
        <w:rPr>
          <w:rFonts w:ascii="Arial" w:hAnsi="Arial" w:cs="Arial"/>
        </w:rPr>
        <w:t>.</w:t>
      </w:r>
    </w:p>
    <w:p w14:paraId="09084696" w14:textId="77777777" w:rsidR="00494768" w:rsidRPr="00494768" w:rsidRDefault="00494768" w:rsidP="00494768">
      <w:pPr>
        <w:rPr>
          <w:rFonts w:ascii="Arial" w:hAnsi="Arial" w:cs="Arial"/>
          <w:b/>
          <w:bCs/>
        </w:rPr>
      </w:pPr>
      <w:r w:rsidRPr="00494768">
        <w:rPr>
          <w:rFonts w:ascii="Arial" w:hAnsi="Arial" w:cs="Arial"/>
          <w:b/>
          <w:bCs/>
        </w:rPr>
        <w:t>(B)</w:t>
      </w:r>
      <w:r w:rsidRPr="00494768">
        <w:rPr>
          <w:rFonts w:ascii="Arial" w:hAnsi="Arial" w:cs="Arial"/>
          <w:b/>
          <w:bCs/>
        </w:rPr>
        <w:tab/>
        <w:t xml:space="preserve">External Consultations </w:t>
      </w:r>
    </w:p>
    <w:p w14:paraId="1C5010B8" w14:textId="62061CA9" w:rsidR="00494768" w:rsidRPr="00E04986" w:rsidRDefault="00B16D4A" w:rsidP="00494768">
      <w:pPr>
        <w:rPr>
          <w:rFonts w:ascii="Arial" w:hAnsi="Arial" w:cs="Arial"/>
          <w:bCs/>
        </w:rPr>
      </w:pPr>
      <w:r w:rsidRPr="00E04986">
        <w:rPr>
          <w:rFonts w:ascii="Arial" w:hAnsi="Arial" w:cs="Arial"/>
          <w:bCs/>
        </w:rPr>
        <w:t xml:space="preserve">The ward councillors have been consulted </w:t>
      </w:r>
      <w:r w:rsidR="00E04986" w:rsidRPr="00E04986">
        <w:rPr>
          <w:rFonts w:ascii="Arial" w:hAnsi="Arial" w:cs="Arial"/>
          <w:bCs/>
        </w:rPr>
        <w:t xml:space="preserve">when the LLP was </w:t>
      </w:r>
      <w:r w:rsidR="00202B66" w:rsidRPr="00E04986">
        <w:rPr>
          <w:rFonts w:ascii="Arial" w:hAnsi="Arial" w:cs="Arial"/>
          <w:bCs/>
        </w:rPr>
        <w:t>formulated,</w:t>
      </w:r>
      <w:r w:rsidR="00E04986" w:rsidRPr="00E04986">
        <w:rPr>
          <w:rFonts w:ascii="Arial" w:hAnsi="Arial" w:cs="Arial"/>
          <w:bCs/>
        </w:rPr>
        <w:t xml:space="preserve"> and Cabinet Member has </w:t>
      </w:r>
      <w:r w:rsidR="00E04986">
        <w:rPr>
          <w:rFonts w:ascii="Arial" w:hAnsi="Arial" w:cs="Arial"/>
          <w:bCs/>
        </w:rPr>
        <w:t xml:space="preserve">since </w:t>
      </w:r>
      <w:r w:rsidR="00E04986" w:rsidRPr="00E04986">
        <w:rPr>
          <w:rFonts w:ascii="Arial" w:hAnsi="Arial" w:cs="Arial"/>
          <w:bCs/>
        </w:rPr>
        <w:t>been briefed and agreed to the LLP.</w:t>
      </w:r>
    </w:p>
    <w:p w14:paraId="248EE6C3" w14:textId="1F8660E1" w:rsidR="00283066" w:rsidRDefault="00494768" w:rsidP="00494768">
      <w:pPr>
        <w:rPr>
          <w:rFonts w:ascii="Arial" w:hAnsi="Arial" w:cs="Arial"/>
          <w:b/>
          <w:bCs/>
        </w:rPr>
      </w:pPr>
      <w:r w:rsidRPr="00494768">
        <w:rPr>
          <w:rFonts w:ascii="Arial" w:hAnsi="Arial" w:cs="Arial"/>
          <w:b/>
          <w:bCs/>
        </w:rPr>
        <w:t>Implementation Date for the Decision</w:t>
      </w:r>
      <w:r w:rsidR="006E3B58">
        <w:rPr>
          <w:rFonts w:ascii="Arial" w:hAnsi="Arial" w:cs="Arial"/>
          <w:b/>
          <w:bCs/>
        </w:rPr>
        <w:t>:</w:t>
      </w:r>
    </w:p>
    <w:p w14:paraId="3DB5B931" w14:textId="0DC2E566" w:rsidR="00494768" w:rsidRPr="00494768" w:rsidRDefault="00283066" w:rsidP="00494768">
      <w:pPr>
        <w:rPr>
          <w:rFonts w:ascii="Arial" w:hAnsi="Arial" w:cs="Arial"/>
        </w:rPr>
      </w:pPr>
      <w:r w:rsidRPr="00283066">
        <w:rPr>
          <w:rFonts w:ascii="Arial" w:hAnsi="Arial" w:cs="Arial"/>
        </w:rPr>
        <w:t>Following the expiry of the “call-in” period for the Cabinet</w:t>
      </w:r>
      <w:r w:rsidR="001D4A09">
        <w:rPr>
          <w:rFonts w:ascii="Arial" w:hAnsi="Arial" w:cs="Arial"/>
        </w:rPr>
        <w:t xml:space="preserve"> Member</w:t>
      </w:r>
      <w:r w:rsidRPr="00283066">
        <w:rPr>
          <w:rFonts w:ascii="Arial" w:hAnsi="Arial" w:cs="Arial"/>
        </w:rPr>
        <w:t xml:space="preserve">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494768" w:rsidRPr="00494768" w14:paraId="25756E5D" w14:textId="77777777" w:rsidTr="001C1BB3">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7F8E73E6" w14:textId="77777777" w:rsidR="00494768" w:rsidRPr="00494768" w:rsidRDefault="00494768" w:rsidP="001C1BB3">
            <w:pPr>
              <w:rPr>
                <w:rFonts w:ascii="Arial" w:hAnsi="Arial" w:cs="Arial"/>
              </w:rPr>
            </w:pPr>
            <w:r w:rsidRPr="00494768">
              <w:rPr>
                <w:rFonts w:ascii="Arial" w:hAnsi="Arial" w:cs="Arial"/>
              </w:rPr>
              <w:t>Contact Officer:</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17013C5D" w14:textId="1F2D5583" w:rsidR="00494768" w:rsidRPr="00494768" w:rsidRDefault="00E04986" w:rsidP="001C1BB3">
            <w:pPr>
              <w:rPr>
                <w:rFonts w:ascii="Arial" w:hAnsi="Arial" w:cs="Arial"/>
                <w:bCs/>
              </w:rPr>
            </w:pPr>
            <w:r>
              <w:rPr>
                <w:rFonts w:ascii="Arial" w:hAnsi="Arial" w:cs="Arial"/>
                <w:bCs/>
              </w:rPr>
              <w:t>Graham Parry</w:t>
            </w:r>
          </w:p>
        </w:tc>
      </w:tr>
      <w:tr w:rsidR="00494768" w:rsidRPr="00494768" w14:paraId="0109FD7B" w14:textId="77777777" w:rsidTr="001C1BB3">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2517B091" w14:textId="77777777" w:rsidR="00494768" w:rsidRPr="00494768" w:rsidRDefault="00494768" w:rsidP="001C1BB3">
            <w:pPr>
              <w:rPr>
                <w:rFonts w:ascii="Arial" w:hAnsi="Arial" w:cs="Arial"/>
                <w:bCs/>
              </w:rPr>
            </w:pPr>
            <w:r w:rsidRPr="00494768">
              <w:rPr>
                <w:rFonts w:ascii="Arial" w:hAnsi="Arial" w:cs="Arial"/>
                <w:bCs/>
              </w:rPr>
              <w:t>Telephone Number:</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18DD68CB" w14:textId="1283F47F" w:rsidR="00494768" w:rsidRPr="00494768" w:rsidRDefault="004745A6" w:rsidP="001C1BB3">
            <w:pPr>
              <w:rPr>
                <w:rFonts w:ascii="Arial" w:hAnsi="Arial" w:cs="Arial"/>
                <w:bCs/>
              </w:rPr>
            </w:pPr>
            <w:r>
              <w:rPr>
                <w:rFonts w:ascii="Arial" w:hAnsi="Arial" w:cs="Arial"/>
                <w:bCs/>
              </w:rPr>
              <w:t>0151 934 3927</w:t>
            </w:r>
          </w:p>
        </w:tc>
      </w:tr>
      <w:tr w:rsidR="00494768" w:rsidRPr="00494768" w14:paraId="2B875F7A" w14:textId="77777777" w:rsidTr="001C1BB3">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774E00F7" w14:textId="77777777" w:rsidR="00494768" w:rsidRPr="00494768" w:rsidRDefault="00494768" w:rsidP="001C1BB3">
            <w:pPr>
              <w:rPr>
                <w:rFonts w:ascii="Arial" w:hAnsi="Arial" w:cs="Arial"/>
                <w:bCs/>
              </w:rPr>
            </w:pPr>
            <w:r w:rsidRPr="00494768">
              <w:rPr>
                <w:rFonts w:ascii="Arial" w:hAnsi="Arial" w:cs="Arial"/>
                <w:bCs/>
              </w:rPr>
              <w:t>Email Address:</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14:paraId="06880729" w14:textId="497B5482" w:rsidR="00494768" w:rsidRPr="00494768" w:rsidRDefault="004745A6" w:rsidP="001C1BB3">
            <w:pPr>
              <w:rPr>
                <w:rFonts w:ascii="Arial" w:hAnsi="Arial" w:cs="Arial"/>
                <w:bCs/>
              </w:rPr>
            </w:pPr>
            <w:r>
              <w:rPr>
                <w:rFonts w:ascii="Arial" w:hAnsi="Arial" w:cs="Arial"/>
                <w:bCs/>
              </w:rPr>
              <w:t>Graham.parry@sefton.gov.uk</w:t>
            </w:r>
          </w:p>
        </w:tc>
      </w:tr>
    </w:tbl>
    <w:p w14:paraId="78CBD83E" w14:textId="77777777" w:rsidR="000870F7" w:rsidRDefault="000870F7" w:rsidP="00494768">
      <w:pPr>
        <w:rPr>
          <w:rFonts w:ascii="Arial" w:hAnsi="Arial" w:cs="Arial"/>
          <w:b/>
        </w:rPr>
      </w:pPr>
    </w:p>
    <w:p w14:paraId="254119EA" w14:textId="3C5A8C79" w:rsidR="00494768" w:rsidRDefault="00494768" w:rsidP="00494768">
      <w:pPr>
        <w:rPr>
          <w:rFonts w:ascii="Arial" w:hAnsi="Arial" w:cs="Arial"/>
          <w:b/>
        </w:rPr>
      </w:pPr>
      <w:r w:rsidRPr="00494768">
        <w:rPr>
          <w:rFonts w:ascii="Arial" w:hAnsi="Arial" w:cs="Arial"/>
          <w:b/>
        </w:rPr>
        <w:t>Appendices:</w:t>
      </w:r>
    </w:p>
    <w:p w14:paraId="3AF4A663" w14:textId="77777777" w:rsidR="007E57D3" w:rsidRPr="007E57D3" w:rsidRDefault="007E57D3" w:rsidP="007E57D3">
      <w:pPr>
        <w:rPr>
          <w:rFonts w:ascii="Arial" w:hAnsi="Arial" w:cs="Arial"/>
          <w:bCs/>
        </w:rPr>
      </w:pPr>
      <w:r w:rsidRPr="007E57D3">
        <w:rPr>
          <w:rFonts w:ascii="Arial" w:hAnsi="Arial" w:cs="Arial"/>
          <w:bCs/>
        </w:rPr>
        <w:t xml:space="preserve">The following appendices are attached to this report: </w:t>
      </w:r>
    </w:p>
    <w:p w14:paraId="56A0084C" w14:textId="2AA14405" w:rsidR="007E57D3" w:rsidRPr="007E57D3" w:rsidRDefault="007E57D3" w:rsidP="007E57D3">
      <w:pPr>
        <w:rPr>
          <w:rFonts w:ascii="Arial" w:hAnsi="Arial" w:cs="Arial"/>
          <w:bCs/>
        </w:rPr>
      </w:pPr>
      <w:r w:rsidRPr="007E57D3">
        <w:rPr>
          <w:rFonts w:ascii="Arial" w:hAnsi="Arial" w:cs="Arial"/>
          <w:bCs/>
        </w:rPr>
        <w:t xml:space="preserve">Appendix A; Local Lettings Plan </w:t>
      </w:r>
      <w:r w:rsidR="00D32257">
        <w:rPr>
          <w:rFonts w:ascii="Arial" w:hAnsi="Arial" w:cs="Arial"/>
          <w:bCs/>
        </w:rPr>
        <w:t>Morris Meadows, Netherton</w:t>
      </w:r>
    </w:p>
    <w:p w14:paraId="40ECE47E" w14:textId="70BF9967" w:rsidR="00494768" w:rsidRPr="00D01CB0" w:rsidRDefault="007E57D3" w:rsidP="00494768">
      <w:pPr>
        <w:rPr>
          <w:rFonts w:ascii="Arial" w:hAnsi="Arial" w:cs="Arial"/>
          <w:bCs/>
        </w:rPr>
      </w:pPr>
      <w:r w:rsidRPr="007E57D3">
        <w:rPr>
          <w:rFonts w:ascii="Arial" w:hAnsi="Arial" w:cs="Arial"/>
          <w:bCs/>
        </w:rPr>
        <w:t xml:space="preserve">Appendix B: Equality Impact Assessment </w:t>
      </w:r>
      <w:r w:rsidR="00D32257">
        <w:rPr>
          <w:rFonts w:ascii="Arial" w:hAnsi="Arial" w:cs="Arial"/>
          <w:bCs/>
        </w:rPr>
        <w:t>Morris Meadows</w:t>
      </w:r>
      <w:r w:rsidRPr="007E57D3">
        <w:rPr>
          <w:rFonts w:ascii="Arial" w:hAnsi="Arial" w:cs="Arial"/>
          <w:bCs/>
        </w:rPr>
        <w:t xml:space="preserve">, </w:t>
      </w:r>
      <w:r w:rsidR="00D32257">
        <w:rPr>
          <w:rFonts w:ascii="Arial" w:hAnsi="Arial" w:cs="Arial"/>
          <w:bCs/>
        </w:rPr>
        <w:t>Netherton</w:t>
      </w:r>
    </w:p>
    <w:p w14:paraId="4B1C322E" w14:textId="1BE816EC" w:rsidR="00494768" w:rsidRDefault="00494768" w:rsidP="00326F30">
      <w:pPr>
        <w:rPr>
          <w:rFonts w:ascii="Arial" w:hAnsi="Arial" w:cs="Arial"/>
          <w:b/>
          <w:bCs/>
        </w:rPr>
      </w:pPr>
      <w:r w:rsidRPr="00494768">
        <w:rPr>
          <w:rFonts w:ascii="Arial" w:hAnsi="Arial" w:cs="Arial"/>
          <w:b/>
          <w:bCs/>
        </w:rPr>
        <w:t>Background Papers:</w:t>
      </w:r>
    </w:p>
    <w:p w14:paraId="77AC7377" w14:textId="77777777" w:rsidR="000870F7" w:rsidRDefault="000870F7" w:rsidP="000870F7">
      <w:pPr>
        <w:rPr>
          <w:rFonts w:cs="Arial"/>
        </w:rPr>
      </w:pPr>
      <w:r w:rsidRPr="000870F7">
        <w:rPr>
          <w:rFonts w:ascii="Arial" w:hAnsi="Arial" w:cs="Arial"/>
        </w:rPr>
        <w:t>Merseyside Property Pool Plus Allocations Policy</w:t>
      </w:r>
      <w:r w:rsidRPr="00AF14FA">
        <w:rPr>
          <w:rFonts w:cs="Arial"/>
        </w:rPr>
        <w:t xml:space="preserve"> </w:t>
      </w:r>
      <w:hyperlink r:id="rId11" w:history="1">
        <w:r w:rsidRPr="006477F2">
          <w:rPr>
            <w:rStyle w:val="Hyperlink"/>
            <w:rFonts w:cs="Arial"/>
          </w:rPr>
          <w:t>http://www.propertypoolplus.org.uk</w:t>
        </w:r>
      </w:hyperlink>
    </w:p>
    <w:p w14:paraId="2CBD5D2E" w14:textId="77777777" w:rsidR="000870F7" w:rsidRDefault="000870F7" w:rsidP="00326F30">
      <w:pPr>
        <w:rPr>
          <w:rFonts w:ascii="Arial" w:hAnsi="Arial" w:cs="Arial"/>
          <w:b/>
          <w:bCs/>
        </w:rPr>
      </w:pPr>
    </w:p>
    <w:p w14:paraId="1DDF67CC" w14:textId="77777777" w:rsidR="008F3A75" w:rsidRDefault="008F3A75" w:rsidP="00326F30">
      <w:pPr>
        <w:rPr>
          <w:rFonts w:ascii="Arial" w:hAnsi="Arial" w:cs="Arial"/>
          <w:b/>
          <w:bCs/>
        </w:rPr>
      </w:pPr>
    </w:p>
    <w:p w14:paraId="27F1644D" w14:textId="77777777" w:rsidR="008F3A75" w:rsidRDefault="008F3A75" w:rsidP="00326F30">
      <w:pPr>
        <w:rPr>
          <w:rFonts w:ascii="Arial" w:hAnsi="Arial" w:cs="Arial"/>
          <w:b/>
          <w:bCs/>
        </w:rPr>
      </w:pPr>
    </w:p>
    <w:p w14:paraId="6CBC2E41" w14:textId="77777777" w:rsidR="00AD3D18" w:rsidRDefault="00AD3D18" w:rsidP="008F3A75">
      <w:pPr>
        <w:rPr>
          <w:rFonts w:cs="Arial"/>
          <w:b/>
          <w:bCs/>
        </w:rPr>
      </w:pPr>
    </w:p>
    <w:p w14:paraId="6FF6E455" w14:textId="77777777" w:rsidR="00AD3D18" w:rsidRDefault="00AD3D18" w:rsidP="008F3A75">
      <w:pPr>
        <w:rPr>
          <w:rFonts w:cs="Arial"/>
          <w:b/>
          <w:bCs/>
        </w:rPr>
      </w:pPr>
    </w:p>
    <w:p w14:paraId="0CFE6E7C" w14:textId="77777777" w:rsidR="00AD3D18" w:rsidRDefault="00AD3D18" w:rsidP="008F3A75">
      <w:pPr>
        <w:rPr>
          <w:rFonts w:cs="Arial"/>
          <w:b/>
          <w:bCs/>
        </w:rPr>
      </w:pPr>
    </w:p>
    <w:p w14:paraId="38AF5AC4" w14:textId="77777777" w:rsidR="00AD3D18" w:rsidRDefault="00AD3D18" w:rsidP="008F3A75">
      <w:pPr>
        <w:rPr>
          <w:rFonts w:cs="Arial"/>
          <w:b/>
          <w:bCs/>
        </w:rPr>
      </w:pPr>
    </w:p>
    <w:p w14:paraId="5768BFCB" w14:textId="77777777" w:rsidR="00AD3D18" w:rsidRDefault="00AD3D18" w:rsidP="008F3A75">
      <w:pPr>
        <w:rPr>
          <w:rFonts w:cs="Arial"/>
          <w:b/>
          <w:bCs/>
        </w:rPr>
      </w:pPr>
    </w:p>
    <w:p w14:paraId="5E34CA55" w14:textId="77777777" w:rsidR="00AD3D18" w:rsidRDefault="00AD3D18" w:rsidP="008F3A75">
      <w:pPr>
        <w:rPr>
          <w:rFonts w:cs="Arial"/>
          <w:b/>
          <w:bCs/>
        </w:rPr>
      </w:pPr>
    </w:p>
    <w:p w14:paraId="6B0985F0" w14:textId="77777777" w:rsidR="00AD3D18" w:rsidRDefault="00AD3D18" w:rsidP="008F3A75">
      <w:pPr>
        <w:rPr>
          <w:rFonts w:cs="Arial"/>
          <w:b/>
          <w:bCs/>
        </w:rPr>
      </w:pPr>
    </w:p>
    <w:p w14:paraId="3313C14F" w14:textId="77777777" w:rsidR="00C70520" w:rsidRDefault="00C70520" w:rsidP="008F3A75">
      <w:pPr>
        <w:rPr>
          <w:rFonts w:cs="Arial"/>
          <w:b/>
          <w:bCs/>
        </w:rPr>
      </w:pPr>
    </w:p>
    <w:p w14:paraId="62F97E11" w14:textId="30F7F236" w:rsidR="008F3A75" w:rsidRDefault="008F3A75" w:rsidP="008F3A75">
      <w:pPr>
        <w:rPr>
          <w:rFonts w:cs="Arial"/>
          <w:b/>
          <w:bCs/>
        </w:rPr>
      </w:pPr>
      <w:r w:rsidRPr="00624493">
        <w:rPr>
          <w:rFonts w:cs="Arial"/>
          <w:b/>
          <w:bCs/>
        </w:rPr>
        <w:lastRenderedPageBreak/>
        <w:t>Appendix A</w:t>
      </w:r>
    </w:p>
    <w:p w14:paraId="621A2CE6" w14:textId="77777777" w:rsidR="007B2AD5" w:rsidRPr="001B21E7" w:rsidRDefault="007B2AD5" w:rsidP="007B2AD5">
      <w:pPr>
        <w:jc w:val="right"/>
      </w:pPr>
      <w:r w:rsidRPr="001B21E7">
        <w:rPr>
          <w:noProof/>
        </w:rPr>
        <w:drawing>
          <wp:inline distT="0" distB="0" distL="0" distR="0" wp14:anchorId="2B65A070" wp14:editId="74C8BBA1">
            <wp:extent cx="2057400" cy="1028700"/>
            <wp:effectExtent l="0" t="0" r="0" b="0"/>
            <wp:docPr id="2025110725" name="Picture 2" descr="A blue logo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110725" name="Picture 2" descr="A blue logo with white tex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7400" cy="1028700"/>
                    </a:xfrm>
                    <a:prstGeom prst="rect">
                      <a:avLst/>
                    </a:prstGeom>
                    <a:noFill/>
                    <a:ln>
                      <a:noFill/>
                    </a:ln>
                  </pic:spPr>
                </pic:pic>
              </a:graphicData>
            </a:graphic>
          </wp:inline>
        </w:drawing>
      </w:r>
    </w:p>
    <w:p w14:paraId="213951AB" w14:textId="77777777" w:rsidR="007B2AD5" w:rsidRPr="001B21E7" w:rsidRDefault="007B2AD5" w:rsidP="007B2AD5">
      <w:r w:rsidRPr="001B21E7">
        <w:t xml:space="preserve">Local Lettings </w:t>
      </w:r>
      <w:r w:rsidRPr="0062357A">
        <w:t>Plan</w:t>
      </w:r>
    </w:p>
    <w:p w14:paraId="2EFEC5FE" w14:textId="77777777" w:rsidR="007B2AD5" w:rsidRPr="001B21E7" w:rsidRDefault="007B2AD5" w:rsidP="007B2AD5">
      <w:r w:rsidRPr="001B21E7">
        <w:t>Contact:</w:t>
      </w:r>
      <w:r w:rsidRPr="000176FE">
        <w:t xml:space="preserve"> Bianca Perkins</w:t>
      </w:r>
    </w:p>
    <w:p w14:paraId="7EFE75F0" w14:textId="77777777" w:rsidR="007B2AD5" w:rsidRPr="001B21E7" w:rsidRDefault="007B2AD5" w:rsidP="007B2AD5">
      <w:r w:rsidRPr="001B21E7">
        <w:t xml:space="preserve">Tel: </w:t>
      </w:r>
      <w:r w:rsidRPr="000176FE">
        <w:t>0300 365 1111</w:t>
      </w:r>
    </w:p>
    <w:p w14:paraId="02FF8222" w14:textId="77777777" w:rsidR="007B2AD5" w:rsidRPr="000176FE" w:rsidRDefault="007B2AD5" w:rsidP="007B2AD5">
      <w:pPr>
        <w:rPr>
          <w:b/>
          <w:bCs/>
        </w:rPr>
      </w:pPr>
    </w:p>
    <w:p w14:paraId="1F301544" w14:textId="77777777" w:rsidR="007B2AD5" w:rsidRPr="001B21E7" w:rsidRDefault="007B2AD5" w:rsidP="007B2AD5">
      <w:pPr>
        <w:rPr>
          <w:b/>
          <w:bCs/>
        </w:rPr>
      </w:pPr>
      <w:r w:rsidRPr="000176FE">
        <w:rPr>
          <w:b/>
          <w:bCs/>
        </w:rPr>
        <w:t>Morris Meadows, 53 Braidwood Road, Netherton, L30 1AD</w:t>
      </w:r>
    </w:p>
    <w:p w14:paraId="12AC8D0D" w14:textId="77777777" w:rsidR="007B2AD5" w:rsidRPr="000176FE" w:rsidRDefault="007B2AD5" w:rsidP="007B2AD5"/>
    <w:p w14:paraId="00ABF0D0" w14:textId="77777777" w:rsidR="007B2AD5" w:rsidRPr="001B21E7" w:rsidRDefault="007B2AD5" w:rsidP="007B2AD5">
      <w:pPr>
        <w:rPr>
          <w:b/>
          <w:bCs/>
        </w:rPr>
      </w:pPr>
      <w:r w:rsidRPr="001B21E7">
        <w:rPr>
          <w:b/>
          <w:bCs/>
        </w:rPr>
        <w:t>Introduction</w:t>
      </w:r>
    </w:p>
    <w:p w14:paraId="5F41FACE" w14:textId="77777777" w:rsidR="007B2AD5" w:rsidRPr="001B21E7" w:rsidRDefault="007B2AD5" w:rsidP="007B2AD5">
      <w:r w:rsidRPr="001B21E7">
        <w:t xml:space="preserve">This Local Lettings </w:t>
      </w:r>
      <w:r>
        <w:t>Plan</w:t>
      </w:r>
      <w:r w:rsidRPr="001B21E7">
        <w:t xml:space="preserve"> (LLP) has been developed to deliver sustainable lettings for the new build homes at </w:t>
      </w:r>
      <w:r w:rsidRPr="000176FE">
        <w:t>Morris Meadows, 53 Braidwood Road, Netherton, L30 1AD.</w:t>
      </w:r>
    </w:p>
    <w:p w14:paraId="013FA73A" w14:textId="13BAFDF5" w:rsidR="007B2AD5" w:rsidRPr="001B21E7" w:rsidRDefault="007B2AD5" w:rsidP="007B2AD5">
      <w:r>
        <w:t xml:space="preserve">The site is mixed tenure consisting of shared ownership and rent to buy houses and an </w:t>
      </w:r>
      <w:r w:rsidRPr="000176FE">
        <w:t>apartment block contain</w:t>
      </w:r>
      <w:r>
        <w:t>ing</w:t>
      </w:r>
      <w:r w:rsidRPr="000176FE">
        <w:t xml:space="preserve"> 58</w:t>
      </w:r>
      <w:r w:rsidRPr="001B21E7">
        <w:t xml:space="preserve"> </w:t>
      </w:r>
      <w:r w:rsidRPr="000176FE">
        <w:t xml:space="preserve">affordable rented flats (18 x ground floor, 20 x first floor and 20 x second floor). </w:t>
      </w:r>
      <w:r w:rsidRPr="001B21E7">
        <w:t xml:space="preserve"> The property breakdown is as follows</w:t>
      </w:r>
      <w:r>
        <w:t>:</w:t>
      </w:r>
    </w:p>
    <w:p w14:paraId="01FF1AB7" w14:textId="77777777" w:rsidR="007B2AD5" w:rsidRPr="000176FE" w:rsidRDefault="007B2AD5" w:rsidP="007B2AD5">
      <w:pPr>
        <w:pStyle w:val="ListParagraph"/>
        <w:numPr>
          <w:ilvl w:val="0"/>
          <w:numId w:val="24"/>
        </w:numPr>
        <w:autoSpaceDE/>
        <w:autoSpaceDN/>
        <w:adjustRightInd/>
        <w:snapToGrid/>
        <w:spacing w:after="160" w:line="259" w:lineRule="auto"/>
        <w:contextualSpacing/>
      </w:pPr>
      <w:r w:rsidRPr="000176FE">
        <w:t>2</w:t>
      </w:r>
      <w:r>
        <w:t>4</w:t>
      </w:r>
      <w:r w:rsidRPr="000176FE">
        <w:t xml:space="preserve"> x 1-bedroom apartments</w:t>
      </w:r>
    </w:p>
    <w:p w14:paraId="32B08C44" w14:textId="77777777" w:rsidR="007B2AD5" w:rsidRPr="000176FE" w:rsidRDefault="007B2AD5" w:rsidP="007B2AD5">
      <w:pPr>
        <w:pStyle w:val="ListParagraph"/>
        <w:numPr>
          <w:ilvl w:val="0"/>
          <w:numId w:val="24"/>
        </w:numPr>
        <w:autoSpaceDE/>
        <w:autoSpaceDN/>
        <w:adjustRightInd/>
        <w:snapToGrid/>
        <w:spacing w:after="160" w:line="259" w:lineRule="auto"/>
        <w:contextualSpacing/>
      </w:pPr>
      <w:r w:rsidRPr="000176FE">
        <w:t>3</w:t>
      </w:r>
      <w:r>
        <w:t>3</w:t>
      </w:r>
      <w:r w:rsidRPr="000176FE">
        <w:t xml:space="preserve"> x 2-bedroom apartments</w:t>
      </w:r>
    </w:p>
    <w:p w14:paraId="3A01CB01" w14:textId="77777777" w:rsidR="007B2AD5" w:rsidRPr="000176FE" w:rsidRDefault="007B2AD5" w:rsidP="007B2AD5">
      <w:pPr>
        <w:pStyle w:val="ListParagraph"/>
        <w:numPr>
          <w:ilvl w:val="0"/>
          <w:numId w:val="24"/>
        </w:numPr>
        <w:autoSpaceDE/>
        <w:autoSpaceDN/>
        <w:adjustRightInd/>
        <w:snapToGrid/>
        <w:spacing w:after="160" w:line="259" w:lineRule="auto"/>
        <w:contextualSpacing/>
      </w:pPr>
      <w:r w:rsidRPr="000176FE">
        <w:t xml:space="preserve">1 x 3-bedroom apartment </w:t>
      </w:r>
    </w:p>
    <w:p w14:paraId="71D5BCB1" w14:textId="77777777" w:rsidR="007B2AD5" w:rsidRPr="001B21E7" w:rsidRDefault="007B2AD5" w:rsidP="007B2AD5">
      <w:r w:rsidRPr="001B21E7">
        <w:t xml:space="preserve">The allocation of many apartments in a single location, increases risks to both </w:t>
      </w:r>
      <w:r w:rsidRPr="000176FE">
        <w:t>One Vision Housing</w:t>
      </w:r>
      <w:r w:rsidRPr="001B21E7">
        <w:t xml:space="preserve"> and the wider community if appropriate and sustainable lettings are not achieved.</w:t>
      </w:r>
    </w:p>
    <w:p w14:paraId="2FB4B3DC" w14:textId="77777777" w:rsidR="007B2AD5" w:rsidRPr="001B21E7" w:rsidRDefault="007B2AD5" w:rsidP="007B2AD5">
      <w:r w:rsidRPr="000176FE">
        <w:t>One Vision Housing</w:t>
      </w:r>
      <w:r w:rsidRPr="001B21E7">
        <w:t xml:space="preserve"> therefore proposes to vary the standard allocations criteria for the prioritisation of applicants for these homes.</w:t>
      </w:r>
    </w:p>
    <w:p w14:paraId="4264C594" w14:textId="77777777" w:rsidR="007B2AD5" w:rsidRPr="000176FE" w:rsidRDefault="007B2AD5" w:rsidP="007B2AD5">
      <w:pPr>
        <w:rPr>
          <w:b/>
          <w:bCs/>
        </w:rPr>
      </w:pPr>
    </w:p>
    <w:p w14:paraId="2EFCA39F" w14:textId="77777777" w:rsidR="007B2AD5" w:rsidRPr="001B21E7" w:rsidRDefault="007B2AD5" w:rsidP="007B2AD5">
      <w:pPr>
        <w:rPr>
          <w:b/>
          <w:bCs/>
        </w:rPr>
      </w:pPr>
      <w:r w:rsidRPr="001B21E7">
        <w:rPr>
          <w:b/>
          <w:bCs/>
        </w:rPr>
        <w:t>Aim of the framework</w:t>
      </w:r>
    </w:p>
    <w:p w14:paraId="2D1DD0F9" w14:textId="77777777" w:rsidR="007B2AD5" w:rsidRPr="001B21E7" w:rsidRDefault="007B2AD5" w:rsidP="007B2AD5">
      <w:r w:rsidRPr="001B21E7">
        <w:t>The aim of the Local Lettings Policy is to make a significant contribution to the overall sustainability of the area</w:t>
      </w:r>
      <w:r>
        <w:t>.</w:t>
      </w:r>
    </w:p>
    <w:p w14:paraId="6BE69B80" w14:textId="77777777" w:rsidR="007B2AD5" w:rsidRPr="001B21E7" w:rsidRDefault="007B2AD5" w:rsidP="007B2AD5">
      <w:r w:rsidRPr="001B21E7">
        <w:t xml:space="preserve">As </w:t>
      </w:r>
      <w:r w:rsidRPr="000176FE">
        <w:t>Morris Meadows</w:t>
      </w:r>
      <w:r w:rsidRPr="001B21E7">
        <w:t xml:space="preserve"> is a new development to the community, we want to ensure that we create a balanced and sustainable community from the beginning by identifying suitable tenants who will settle and make a positive </w:t>
      </w:r>
      <w:r>
        <w:t>contribution</w:t>
      </w:r>
      <w:r w:rsidRPr="001B21E7">
        <w:t xml:space="preserve"> to the local community, ensuring tenancies are sustainable for the long term.</w:t>
      </w:r>
    </w:p>
    <w:p w14:paraId="08E85C70" w14:textId="77777777" w:rsidR="007B2AD5" w:rsidRPr="001B21E7" w:rsidRDefault="007B2AD5" w:rsidP="007B2AD5">
      <w:r w:rsidRPr="001B21E7">
        <w:lastRenderedPageBreak/>
        <w:t>We aim to achieve this by housing a mix of different households, with different lifestyles and economic profiles, whilst at the same time, still providing housing to residents in housing need.</w:t>
      </w:r>
    </w:p>
    <w:p w14:paraId="552EED8F" w14:textId="77777777" w:rsidR="007B2AD5" w:rsidRPr="001B21E7" w:rsidRDefault="007B2AD5" w:rsidP="007B2AD5">
      <w:r w:rsidRPr="001B21E7">
        <w:t xml:space="preserve">In addition, we aim to protect the capital investment made by </w:t>
      </w:r>
      <w:r w:rsidRPr="000176FE">
        <w:t>One Vision Housing</w:t>
      </w:r>
      <w:r w:rsidRPr="001B21E7">
        <w:t xml:space="preserve"> through the delivery of sustainable tenancies.</w:t>
      </w:r>
    </w:p>
    <w:p w14:paraId="045C5B9F" w14:textId="77777777" w:rsidR="007B2AD5" w:rsidRPr="000176FE" w:rsidRDefault="007B2AD5" w:rsidP="007B2AD5">
      <w:pPr>
        <w:rPr>
          <w:b/>
          <w:bCs/>
        </w:rPr>
      </w:pPr>
    </w:p>
    <w:p w14:paraId="66339FFA" w14:textId="77777777" w:rsidR="007B2AD5" w:rsidRPr="001B21E7" w:rsidRDefault="007B2AD5" w:rsidP="007B2AD5">
      <w:pPr>
        <w:rPr>
          <w:b/>
          <w:bCs/>
        </w:rPr>
      </w:pPr>
      <w:r w:rsidRPr="001B21E7">
        <w:rPr>
          <w:b/>
          <w:bCs/>
        </w:rPr>
        <w:t>Background</w:t>
      </w:r>
    </w:p>
    <w:p w14:paraId="658D2305" w14:textId="77777777" w:rsidR="007B2AD5" w:rsidRPr="000176FE" w:rsidRDefault="007B2AD5" w:rsidP="007B2AD5">
      <w:r w:rsidRPr="000176FE">
        <w:t>Morris Meadows</w:t>
      </w:r>
      <w:r w:rsidRPr="001B21E7">
        <w:t xml:space="preserve">, set in the </w:t>
      </w:r>
      <w:r w:rsidRPr="000176FE">
        <w:t xml:space="preserve">Netherton and </w:t>
      </w:r>
      <w:proofErr w:type="spellStart"/>
      <w:r w:rsidRPr="000176FE">
        <w:t>Orrell</w:t>
      </w:r>
      <w:proofErr w:type="spellEnd"/>
      <w:r w:rsidRPr="000176FE">
        <w:t xml:space="preserve"> </w:t>
      </w:r>
      <w:r w:rsidRPr="001B21E7">
        <w:t xml:space="preserve">Ward, is a new build scheme of </w:t>
      </w:r>
      <w:r w:rsidRPr="000176FE">
        <w:t>58</w:t>
      </w:r>
      <w:r w:rsidRPr="001B21E7">
        <w:t xml:space="preserve"> flats in </w:t>
      </w:r>
      <w:r w:rsidRPr="000176FE">
        <w:t>Netherton just off Dunnings Bridge Road</w:t>
      </w:r>
      <w:r w:rsidRPr="001B21E7">
        <w:t xml:space="preserve">. Handovers are scheduled to take place at the end of </w:t>
      </w:r>
      <w:r w:rsidRPr="000176FE">
        <w:t>September</w:t>
      </w:r>
      <w:r w:rsidRPr="001B21E7">
        <w:t xml:space="preserve"> 2024.</w:t>
      </w:r>
    </w:p>
    <w:p w14:paraId="7285518D" w14:textId="77777777" w:rsidR="007B2AD5" w:rsidRPr="001B21E7" w:rsidRDefault="007B2AD5" w:rsidP="007B2AD5"/>
    <w:p w14:paraId="7F968D26" w14:textId="77777777" w:rsidR="007B2AD5" w:rsidRPr="007B69DA" w:rsidRDefault="007B2AD5" w:rsidP="007B2AD5">
      <w:r w:rsidRPr="007B69DA">
        <w:rPr>
          <w:b/>
          <w:bCs/>
        </w:rPr>
        <w:t xml:space="preserve">Divergence from the standard policy </w:t>
      </w:r>
    </w:p>
    <w:p w14:paraId="4DB1DF9E" w14:textId="77777777" w:rsidR="007B2AD5" w:rsidRPr="007B69DA" w:rsidRDefault="007B2AD5" w:rsidP="007B2AD5">
      <w:r w:rsidRPr="007B69DA">
        <w:t xml:space="preserve">The local letting scheme for </w:t>
      </w:r>
      <w:r>
        <w:t xml:space="preserve">this development </w:t>
      </w:r>
      <w:r w:rsidRPr="007B69DA">
        <w:t xml:space="preserve">differs from our principal Allocation Scheme in the following ways: </w:t>
      </w:r>
    </w:p>
    <w:p w14:paraId="3BDC9122" w14:textId="77777777" w:rsidR="007B2AD5" w:rsidRDefault="007B2AD5" w:rsidP="007B2AD5">
      <w:pPr>
        <w:pStyle w:val="ListParagraph"/>
        <w:numPr>
          <w:ilvl w:val="0"/>
          <w:numId w:val="21"/>
        </w:numPr>
        <w:autoSpaceDE/>
        <w:autoSpaceDN/>
        <w:adjustRightInd/>
        <w:snapToGrid/>
        <w:spacing w:after="160" w:line="259" w:lineRule="auto"/>
        <w:contextualSpacing/>
      </w:pPr>
      <w:proofErr w:type="gramStart"/>
      <w:r w:rsidRPr="007E3F93">
        <w:t>All of</w:t>
      </w:r>
      <w:proofErr w:type="gramEnd"/>
      <w:r w:rsidRPr="007E3F93">
        <w:t xml:space="preserve"> the apartments in the development will be let at an affordable rent (up to 80% of market rent including service charges) but below the Local Housing Allowance Rate. </w:t>
      </w:r>
    </w:p>
    <w:p w14:paraId="17B88BF0" w14:textId="77777777" w:rsidR="007B2AD5" w:rsidRDefault="007B2AD5" w:rsidP="007B2AD5">
      <w:pPr>
        <w:pStyle w:val="ListParagraph"/>
        <w:numPr>
          <w:ilvl w:val="0"/>
          <w:numId w:val="0"/>
        </w:numPr>
        <w:ind w:left="360"/>
      </w:pPr>
    </w:p>
    <w:p w14:paraId="1DDD2DB6" w14:textId="77777777" w:rsidR="007B2AD5" w:rsidRPr="000176FE" w:rsidRDefault="007B2AD5" w:rsidP="007B2AD5">
      <w:pPr>
        <w:pStyle w:val="ListParagraph"/>
        <w:numPr>
          <w:ilvl w:val="0"/>
          <w:numId w:val="21"/>
        </w:numPr>
        <w:autoSpaceDE/>
        <w:autoSpaceDN/>
        <w:adjustRightInd/>
        <w:snapToGrid/>
        <w:spacing w:after="160" w:line="259" w:lineRule="auto"/>
        <w:contextualSpacing/>
      </w:pPr>
      <w:r w:rsidRPr="007E3F93">
        <w:t xml:space="preserve"> All tenants will be awarded the standard 5-year fixed term Assured Shorthold Tenancy Agreement</w:t>
      </w:r>
      <w:r>
        <w:t xml:space="preserve"> as this is the tenure type used by OVH for all housing schemes that are let at an affordable rent. This gives the landlord and the tenant the opportunity to review the tenancy at the end of the fixed term period before signing a new agreement. </w:t>
      </w:r>
    </w:p>
    <w:p w14:paraId="492F6972" w14:textId="77777777" w:rsidR="007B2AD5" w:rsidRPr="007E3F93" w:rsidRDefault="007B2AD5" w:rsidP="007B2AD5">
      <w:pPr>
        <w:pStyle w:val="ListParagraph"/>
        <w:numPr>
          <w:ilvl w:val="0"/>
          <w:numId w:val="0"/>
        </w:numPr>
        <w:ind w:left="360"/>
      </w:pPr>
    </w:p>
    <w:p w14:paraId="3AED1B72" w14:textId="77777777" w:rsidR="007B2AD5" w:rsidRPr="000176FE" w:rsidRDefault="007B2AD5" w:rsidP="007B2AD5">
      <w:pPr>
        <w:pStyle w:val="ListParagraph"/>
        <w:numPr>
          <w:ilvl w:val="0"/>
          <w:numId w:val="21"/>
        </w:numPr>
        <w:autoSpaceDE/>
        <w:autoSpaceDN/>
        <w:adjustRightInd/>
        <w:snapToGrid/>
        <w:spacing w:after="160" w:line="259" w:lineRule="auto"/>
        <w:contextualSpacing/>
      </w:pPr>
      <w:r w:rsidRPr="000176FE">
        <w:t>The provision of 2 references will be requested. If an applicant has held a tenancy, then references will be requested from either the current or previous landlord and any offers may be overlooked if references are not provided or are unsatisfactory.</w:t>
      </w:r>
      <w:r>
        <w:t xml:space="preserve"> We will also consider one reference from Homeless Hostels if no other reference available.</w:t>
      </w:r>
      <w:r w:rsidRPr="000176FE">
        <w:t xml:space="preserve"> </w:t>
      </w:r>
      <w:r>
        <w:t>A</w:t>
      </w:r>
      <w:r w:rsidRPr="000176FE">
        <w:t>ll applications will be considered on an individual basis in this respect, and an unsatisfactory reference may result in the re-assessment of the Property Pool P</w:t>
      </w:r>
      <w:r>
        <w:t>l</w:t>
      </w:r>
      <w:r w:rsidRPr="000176FE">
        <w:t xml:space="preserve">us application in line with the Property Pool Plus Policy. </w:t>
      </w:r>
    </w:p>
    <w:p w14:paraId="3542C6DF" w14:textId="77777777" w:rsidR="007B2AD5" w:rsidRPr="000176FE" w:rsidRDefault="007B2AD5" w:rsidP="007B2AD5">
      <w:pPr>
        <w:pStyle w:val="ListParagraph"/>
        <w:numPr>
          <w:ilvl w:val="0"/>
          <w:numId w:val="0"/>
        </w:numPr>
        <w:ind w:left="360"/>
      </w:pPr>
    </w:p>
    <w:p w14:paraId="5DD42669" w14:textId="77777777" w:rsidR="007B2AD5" w:rsidRPr="000176FE" w:rsidRDefault="007B2AD5" w:rsidP="007B2AD5">
      <w:pPr>
        <w:pStyle w:val="ListParagraph"/>
        <w:numPr>
          <w:ilvl w:val="0"/>
          <w:numId w:val="21"/>
        </w:numPr>
        <w:autoSpaceDE/>
        <w:autoSpaceDN/>
        <w:adjustRightInd/>
        <w:snapToGrid/>
        <w:spacing w:after="160" w:line="259" w:lineRule="auto"/>
        <w:contextualSpacing/>
      </w:pPr>
      <w:r w:rsidRPr="000176FE">
        <w:t>Prospective tenants must agree to undertake</w:t>
      </w:r>
      <w:r>
        <w:t xml:space="preserve"> an </w:t>
      </w:r>
      <w:r w:rsidRPr="000176FE">
        <w:t>affordability assessment to establish applicants’ financial status and suitability for the scheme. This approach is standard practice for One Vision Housing and was adopted due to welfare reforms and rent levels.</w:t>
      </w:r>
    </w:p>
    <w:p w14:paraId="2ED27C56" w14:textId="77777777" w:rsidR="007B2AD5" w:rsidRPr="000176FE" w:rsidRDefault="007B2AD5" w:rsidP="007B2AD5">
      <w:pPr>
        <w:pStyle w:val="ListParagraph"/>
        <w:numPr>
          <w:ilvl w:val="0"/>
          <w:numId w:val="0"/>
        </w:numPr>
        <w:ind w:left="714"/>
      </w:pPr>
    </w:p>
    <w:p w14:paraId="5BF8C230" w14:textId="77777777" w:rsidR="007B2AD5" w:rsidRPr="000176FE" w:rsidRDefault="007B2AD5" w:rsidP="007B2AD5">
      <w:pPr>
        <w:pStyle w:val="ListParagraph"/>
        <w:numPr>
          <w:ilvl w:val="0"/>
          <w:numId w:val="21"/>
        </w:numPr>
        <w:autoSpaceDE/>
        <w:autoSpaceDN/>
        <w:adjustRightInd/>
        <w:snapToGrid/>
        <w:spacing w:after="160" w:line="259" w:lineRule="auto"/>
        <w:contextualSpacing/>
      </w:pPr>
      <w:r w:rsidRPr="000176FE">
        <w:t xml:space="preserve">Priority for at least 24 (41%) of the properties will be given to applicants who are in employment or full-time education/training (where they can demonstrate </w:t>
      </w:r>
      <w:r>
        <w:t xml:space="preserve">that </w:t>
      </w:r>
      <w:r w:rsidRPr="000176FE">
        <w:t>they have sufficient finance</w:t>
      </w:r>
      <w:r>
        <w:t xml:space="preserve">s </w:t>
      </w:r>
      <w:r w:rsidRPr="000176FE">
        <w:t xml:space="preserve">to pay rent). However, offers will be made in accordance with priority need. This criterion is to help create a sustainable and balanced community. </w:t>
      </w:r>
    </w:p>
    <w:p w14:paraId="713E8832" w14:textId="77777777" w:rsidR="007B2AD5" w:rsidRPr="000176FE" w:rsidRDefault="007B2AD5" w:rsidP="007B2AD5">
      <w:pPr>
        <w:pStyle w:val="ListParagraph"/>
        <w:numPr>
          <w:ilvl w:val="0"/>
          <w:numId w:val="0"/>
        </w:numPr>
        <w:ind w:left="360"/>
      </w:pPr>
    </w:p>
    <w:p w14:paraId="06FBE16D" w14:textId="77777777" w:rsidR="007B2AD5" w:rsidRPr="000176FE" w:rsidRDefault="007B2AD5" w:rsidP="007B2AD5">
      <w:pPr>
        <w:pStyle w:val="ListParagraph"/>
        <w:numPr>
          <w:ilvl w:val="0"/>
          <w:numId w:val="22"/>
        </w:numPr>
        <w:autoSpaceDE/>
        <w:autoSpaceDN/>
        <w:adjustRightInd/>
        <w:snapToGrid/>
        <w:spacing w:after="160" w:line="259" w:lineRule="auto"/>
        <w:contextualSpacing/>
      </w:pPr>
      <w:r w:rsidRPr="000176FE">
        <w:lastRenderedPageBreak/>
        <w:t xml:space="preserve">Applicants with a criminal record and/or a history of antisocial behaviour will be considered in the context of whether they are suitable to be a tenant in line with the Property Pool Plus Policy. If there is concern their activities have not abated and will have a negative impact on these properties, neighbours or surrounding community, an offer may not be made or withdrawn. This will be subject to information provided through a police check. </w:t>
      </w:r>
    </w:p>
    <w:p w14:paraId="0803BE6F" w14:textId="77777777" w:rsidR="007B2AD5" w:rsidRPr="000176FE" w:rsidRDefault="007B2AD5" w:rsidP="007B2AD5">
      <w:pPr>
        <w:pStyle w:val="ListParagraph"/>
        <w:numPr>
          <w:ilvl w:val="0"/>
          <w:numId w:val="0"/>
        </w:numPr>
        <w:ind w:left="360"/>
      </w:pPr>
    </w:p>
    <w:p w14:paraId="12AD65C5" w14:textId="77777777" w:rsidR="007B2AD5" w:rsidRDefault="007B2AD5" w:rsidP="007B2AD5">
      <w:pPr>
        <w:pStyle w:val="ListParagraph"/>
        <w:numPr>
          <w:ilvl w:val="0"/>
          <w:numId w:val="22"/>
        </w:numPr>
        <w:autoSpaceDE/>
        <w:autoSpaceDN/>
        <w:adjustRightInd/>
        <w:snapToGrid/>
        <w:spacing w:after="160" w:line="259" w:lineRule="auto"/>
        <w:contextualSpacing/>
      </w:pPr>
      <w:r w:rsidRPr="000176FE">
        <w:t xml:space="preserve">Where an applicant is rejected </w:t>
      </w:r>
      <w:proofErr w:type="gramStart"/>
      <w:r w:rsidRPr="000176FE">
        <w:t>on the basis of</w:t>
      </w:r>
      <w:proofErr w:type="gramEnd"/>
      <w:r w:rsidRPr="000176FE">
        <w:t xml:space="preserve"> their criminal record or past anti-social behaviour they will be notified with an explanation as to why they are deemed unsuitable to be a tenant and given advice as to what steps are available to them to make them suitable to be a tenant in the future. </w:t>
      </w:r>
    </w:p>
    <w:p w14:paraId="2125E7F2" w14:textId="77777777" w:rsidR="007B2AD5" w:rsidRPr="005C7CAA" w:rsidRDefault="007B2AD5" w:rsidP="007B2AD5">
      <w:pPr>
        <w:pStyle w:val="ListParagraph"/>
        <w:numPr>
          <w:ilvl w:val="0"/>
          <w:numId w:val="0"/>
        </w:numPr>
        <w:ind w:left="714"/>
      </w:pPr>
    </w:p>
    <w:p w14:paraId="463FFD4A" w14:textId="77777777" w:rsidR="007B2AD5" w:rsidRPr="005C7CAA" w:rsidRDefault="007B2AD5" w:rsidP="007B2AD5">
      <w:pPr>
        <w:pStyle w:val="ListParagraph"/>
        <w:numPr>
          <w:ilvl w:val="0"/>
          <w:numId w:val="22"/>
        </w:numPr>
        <w:autoSpaceDE/>
        <w:autoSpaceDN/>
        <w:adjustRightInd/>
        <w:snapToGrid/>
        <w:spacing w:after="160" w:line="259" w:lineRule="auto"/>
        <w:contextualSpacing/>
      </w:pPr>
      <w:r w:rsidRPr="005C7CAA">
        <w:rPr>
          <w:rStyle w:val="ui-provider"/>
        </w:rPr>
        <w:t xml:space="preserve">There are 10 ground floor apartments with level access showers/ wet rooms. The apartments are not wheelchair accessible. Preference </w:t>
      </w:r>
      <w:r>
        <w:rPr>
          <w:rStyle w:val="ui-provider"/>
        </w:rPr>
        <w:t xml:space="preserve">will be </w:t>
      </w:r>
      <w:r w:rsidRPr="005C7CAA">
        <w:rPr>
          <w:rStyle w:val="ui-provider"/>
        </w:rPr>
        <w:t>given to those customers with limited mobility.</w:t>
      </w:r>
      <w:r>
        <w:rPr>
          <w:rStyle w:val="ui-provider"/>
        </w:rPr>
        <w:t xml:space="preserve"> Medical or Occupational Therapy evidence will be requested from applicants for these apartments. </w:t>
      </w:r>
    </w:p>
    <w:p w14:paraId="1FE4D993" w14:textId="77777777" w:rsidR="007B2AD5" w:rsidRPr="000176FE" w:rsidRDefault="007B2AD5" w:rsidP="007B2AD5">
      <w:pPr>
        <w:rPr>
          <w:b/>
          <w:bCs/>
        </w:rPr>
      </w:pPr>
    </w:p>
    <w:p w14:paraId="297BA024" w14:textId="77777777" w:rsidR="007B2AD5" w:rsidRPr="007B69DA" w:rsidRDefault="007B2AD5" w:rsidP="007B2AD5">
      <w:r w:rsidRPr="007B69DA">
        <w:rPr>
          <w:b/>
          <w:bCs/>
        </w:rPr>
        <w:t xml:space="preserve">Selection Process </w:t>
      </w:r>
    </w:p>
    <w:p w14:paraId="06BB405A" w14:textId="77777777" w:rsidR="007B2AD5" w:rsidRPr="007B69DA" w:rsidRDefault="007B2AD5" w:rsidP="007B2AD5">
      <w:r w:rsidRPr="007B69DA">
        <w:t xml:space="preserve">All affordable rent allocations managed by </w:t>
      </w:r>
      <w:r w:rsidRPr="000176FE">
        <w:t>One Vision Housing</w:t>
      </w:r>
      <w:r w:rsidRPr="007B69DA">
        <w:t xml:space="preserve"> on this development will be subject to the agreed </w:t>
      </w:r>
      <w:r w:rsidRPr="000176FE">
        <w:t xml:space="preserve">One Vision Housing </w:t>
      </w:r>
      <w:r w:rsidRPr="007B69DA">
        <w:t xml:space="preserve">PPP lettings criteria and 100% of the properties will be advertised via PPP. </w:t>
      </w:r>
      <w:r w:rsidRPr="000176FE">
        <w:t>At least 75 % of f</w:t>
      </w:r>
      <w:r w:rsidRPr="007B69DA">
        <w:t>uture voids will continue to be advertised on PPP</w:t>
      </w:r>
      <w:r w:rsidRPr="000176FE">
        <w:t xml:space="preserve"> in line with our Nominations Agreement with Sefton Metropolitan Borough Council</w:t>
      </w:r>
      <w:r w:rsidRPr="007B69DA">
        <w:t xml:space="preserve">, advising applicants that a local letting scheme is in place and applicants will be required to satisfy the strict criteria already specified. We will continue to give priority to suitable applicants in accordance with the appropriate banding and date order system. This local letting scheme will be reviewed annually. </w:t>
      </w:r>
    </w:p>
    <w:p w14:paraId="58A063CF" w14:textId="77777777" w:rsidR="007B2AD5" w:rsidRPr="007B69DA" w:rsidRDefault="007B2AD5" w:rsidP="007B2AD5">
      <w:r w:rsidRPr="007B69DA">
        <w:t xml:space="preserve">Applicants will </w:t>
      </w:r>
      <w:r w:rsidRPr="000176FE">
        <w:t xml:space="preserve">undergo an </w:t>
      </w:r>
      <w:r w:rsidRPr="007B69DA">
        <w:t>affordability assessment before an offer is confirmed, whereby the local letting criteria, and any additional checks that may be necessary, will be discussed in detail. During this interview, applicants will be required to demonstrate they understand their responsibilities as a tenant to respect their neighbours and can maintain and sustain</w:t>
      </w:r>
      <w:r>
        <w:t xml:space="preserve"> </w:t>
      </w:r>
      <w:r w:rsidRPr="007B69DA">
        <w:t xml:space="preserve">their tenancy. </w:t>
      </w:r>
    </w:p>
    <w:p w14:paraId="1C21CEFF" w14:textId="77777777" w:rsidR="007B2AD5" w:rsidRPr="000176FE" w:rsidRDefault="007B2AD5" w:rsidP="007B2AD5">
      <w:r w:rsidRPr="007B69DA">
        <w:t xml:space="preserve">All properties will be advertised via PPP but priority for at least </w:t>
      </w:r>
      <w:r w:rsidRPr="000176FE">
        <w:t xml:space="preserve">24 </w:t>
      </w:r>
      <w:r w:rsidRPr="007B69DA">
        <w:t>(4</w:t>
      </w:r>
      <w:r w:rsidRPr="000176FE">
        <w:t>1</w:t>
      </w:r>
      <w:r w:rsidRPr="007B69DA">
        <w:t xml:space="preserve">%) of the properties will be given to applicants who are in employment or full-time education/training (where they can demonstrate they have sufficient finance to pay rent). However, offers will be made in accordance with priority need. </w:t>
      </w:r>
    </w:p>
    <w:p w14:paraId="580EDB76" w14:textId="77777777" w:rsidR="007B2AD5" w:rsidRPr="001B21E7" w:rsidRDefault="007B2AD5" w:rsidP="007B2AD5">
      <w:r w:rsidRPr="001B21E7">
        <w:t>Applicants given priority for employment</w:t>
      </w:r>
      <w:r>
        <w:t xml:space="preserve"> </w:t>
      </w:r>
      <w:r w:rsidRPr="001B21E7">
        <w:t>should be working 16 hours or more at the close of the bidding cycle and be able to provide as evidence a contract of employment, letter from employer and/ or recent wage slips.</w:t>
      </w:r>
    </w:p>
    <w:p w14:paraId="4D061B01" w14:textId="77777777" w:rsidR="007B2AD5" w:rsidRPr="000176FE" w:rsidRDefault="007B2AD5" w:rsidP="007B2AD5">
      <w:r w:rsidRPr="007B69DA">
        <w:t xml:space="preserve">In accordance with </w:t>
      </w:r>
      <w:r w:rsidRPr="000176FE">
        <w:t>One Vision Housing’s</w:t>
      </w:r>
      <w:r w:rsidRPr="007B69DA">
        <w:t xml:space="preserve"> policy</w:t>
      </w:r>
      <w:r>
        <w:t>,</w:t>
      </w:r>
      <w:r w:rsidRPr="007B69DA">
        <w:t xml:space="preserve"> priority will be given to those applicants who can demonstrate full occupation of the property and can demonstrate they have the finance in place to pay the rent. </w:t>
      </w:r>
    </w:p>
    <w:p w14:paraId="7E46C6BB" w14:textId="77777777" w:rsidR="007B2AD5" w:rsidRDefault="007B2AD5" w:rsidP="007B2AD5">
      <w:r w:rsidRPr="007B69DA">
        <w:lastRenderedPageBreak/>
        <w:t>In the event there is insufficient demand</w:t>
      </w:r>
      <w:r w:rsidRPr="000176FE">
        <w:t xml:space="preserve"> properties will be re</w:t>
      </w:r>
      <w:r>
        <w:t>-</w:t>
      </w:r>
      <w:r w:rsidRPr="000176FE">
        <w:t>advertised via PPP to applicants in all bands and consideration will be given to those who under occupy subject to affordability.</w:t>
      </w:r>
    </w:p>
    <w:p w14:paraId="7C42FE2C" w14:textId="77777777" w:rsidR="007B2AD5" w:rsidRPr="00A80E20" w:rsidRDefault="007B2AD5" w:rsidP="007B2AD5">
      <w:pPr>
        <w:rPr>
          <w:color w:val="FF0000"/>
        </w:rPr>
      </w:pPr>
      <w:r w:rsidRPr="00D94F4F">
        <w:rPr>
          <w:rStyle w:val="ui-provider"/>
        </w:rPr>
        <w:t>For the 10</w:t>
      </w:r>
      <w:r>
        <w:rPr>
          <w:rStyle w:val="ui-provider"/>
        </w:rPr>
        <w:t xml:space="preserve"> </w:t>
      </w:r>
      <w:r w:rsidRPr="00D94F4F">
        <w:rPr>
          <w:rStyle w:val="ui-provider"/>
        </w:rPr>
        <w:t>ground floor</w:t>
      </w:r>
      <w:r>
        <w:rPr>
          <w:rStyle w:val="ui-provider"/>
        </w:rPr>
        <w:t xml:space="preserve"> apartments </w:t>
      </w:r>
      <w:r w:rsidRPr="00D94F4F">
        <w:rPr>
          <w:rStyle w:val="ui-provider"/>
        </w:rPr>
        <w:t xml:space="preserve">with level access shower/ </w:t>
      </w:r>
      <w:r w:rsidRPr="0062357A">
        <w:rPr>
          <w:rStyle w:val="ui-provider"/>
        </w:rPr>
        <w:t>wet room, preference</w:t>
      </w:r>
      <w:r w:rsidRPr="00D94F4F">
        <w:rPr>
          <w:rStyle w:val="ui-provider"/>
        </w:rPr>
        <w:t xml:space="preserve"> will be given to applicants</w:t>
      </w:r>
      <w:r>
        <w:rPr>
          <w:rStyle w:val="ui-provider"/>
        </w:rPr>
        <w:t xml:space="preserve"> who require a level access shower/ wet room according to their adaptation needs on PPP.</w:t>
      </w:r>
    </w:p>
    <w:p w14:paraId="311DE322" w14:textId="77777777" w:rsidR="007B2AD5" w:rsidRPr="001B21E7" w:rsidRDefault="007B2AD5" w:rsidP="007B2AD5"/>
    <w:p w14:paraId="629F60A6" w14:textId="77777777" w:rsidR="007B2AD5" w:rsidRPr="001B21E7" w:rsidRDefault="007B2AD5" w:rsidP="007B2AD5">
      <w:pPr>
        <w:rPr>
          <w:b/>
          <w:bCs/>
        </w:rPr>
      </w:pPr>
      <w:r w:rsidRPr="001B21E7">
        <w:rPr>
          <w:b/>
          <w:bCs/>
        </w:rPr>
        <w:t>Monitoring, Conclusion and Review</w:t>
      </w:r>
    </w:p>
    <w:p w14:paraId="174B9D38" w14:textId="77777777" w:rsidR="007B2AD5" w:rsidRPr="001B21E7" w:rsidRDefault="007B2AD5" w:rsidP="007B2AD5">
      <w:r w:rsidRPr="001B21E7">
        <w:t>If the approach described above does not deliver a mix of residents to achieve sustainability of the scheme an alternative approach will be implemented.</w:t>
      </w:r>
    </w:p>
    <w:p w14:paraId="4ADB29D0" w14:textId="77777777" w:rsidR="007B2AD5" w:rsidRPr="001B21E7" w:rsidRDefault="007B2AD5" w:rsidP="007B2AD5">
      <w:r w:rsidRPr="001B21E7">
        <w:t>Any decision to move to an alternative approach will be discussed and agreed with Property Pool Plus.</w:t>
      </w:r>
    </w:p>
    <w:p w14:paraId="54DFDA71" w14:textId="77777777" w:rsidR="007B2AD5" w:rsidRPr="001B21E7" w:rsidRDefault="007B2AD5" w:rsidP="007B2AD5">
      <w:r w:rsidRPr="001B21E7">
        <w:t>It is intended that this Local Lettings Policy shall</w:t>
      </w:r>
      <w:r>
        <w:t xml:space="preserve"> apply to future lets and an annual review will take place.</w:t>
      </w:r>
      <w:r w:rsidRPr="001B21E7">
        <w:t xml:space="preserve"> </w:t>
      </w:r>
    </w:p>
    <w:p w14:paraId="2ACBFEA3" w14:textId="77777777" w:rsidR="007B2AD5" w:rsidRPr="001B21E7" w:rsidRDefault="007B2AD5" w:rsidP="007B2AD5">
      <w:r w:rsidRPr="001B21E7">
        <w:t>We will use the following indicators to measure the overall success of this Local Lettings Plan.</w:t>
      </w:r>
    </w:p>
    <w:p w14:paraId="6EF48808" w14:textId="77777777" w:rsidR="007B2AD5" w:rsidRPr="000176FE" w:rsidRDefault="007B2AD5" w:rsidP="007B2AD5">
      <w:pPr>
        <w:pStyle w:val="ListParagraph"/>
        <w:numPr>
          <w:ilvl w:val="0"/>
          <w:numId w:val="23"/>
        </w:numPr>
        <w:autoSpaceDE/>
        <w:autoSpaceDN/>
        <w:adjustRightInd/>
        <w:snapToGrid/>
        <w:spacing w:after="160" w:line="259" w:lineRule="auto"/>
        <w:contextualSpacing/>
      </w:pPr>
      <w:r w:rsidRPr="000176FE">
        <w:t>Average length of tenancy</w:t>
      </w:r>
    </w:p>
    <w:p w14:paraId="36138C6C" w14:textId="77777777" w:rsidR="007B2AD5" w:rsidRPr="000176FE" w:rsidRDefault="007B2AD5" w:rsidP="007B2AD5">
      <w:pPr>
        <w:pStyle w:val="ListParagraph"/>
        <w:numPr>
          <w:ilvl w:val="0"/>
          <w:numId w:val="23"/>
        </w:numPr>
        <w:autoSpaceDE/>
        <w:autoSpaceDN/>
        <w:adjustRightInd/>
        <w:snapToGrid/>
        <w:spacing w:after="160" w:line="259" w:lineRule="auto"/>
        <w:contextualSpacing/>
      </w:pPr>
      <w:r w:rsidRPr="000176FE">
        <w:t>Turnover of homes</w:t>
      </w:r>
    </w:p>
    <w:p w14:paraId="26FEEC45" w14:textId="77777777" w:rsidR="007B2AD5" w:rsidRDefault="007B2AD5" w:rsidP="007B2AD5">
      <w:pPr>
        <w:pStyle w:val="ListParagraph"/>
        <w:numPr>
          <w:ilvl w:val="0"/>
          <w:numId w:val="23"/>
        </w:numPr>
        <w:autoSpaceDE/>
        <w:autoSpaceDN/>
        <w:adjustRightInd/>
        <w:snapToGrid/>
        <w:spacing w:after="160" w:line="259" w:lineRule="auto"/>
        <w:contextualSpacing/>
      </w:pPr>
      <w:r w:rsidRPr="000176FE">
        <w:t>Number of Anti-Social Behaviour reports</w:t>
      </w:r>
    </w:p>
    <w:p w14:paraId="1CBACF29" w14:textId="77777777" w:rsidR="007B2AD5" w:rsidRDefault="007B2AD5" w:rsidP="007B2AD5">
      <w:pPr>
        <w:pStyle w:val="ListParagraph"/>
        <w:numPr>
          <w:ilvl w:val="0"/>
          <w:numId w:val="23"/>
        </w:numPr>
        <w:autoSpaceDE/>
        <w:autoSpaceDN/>
        <w:adjustRightInd/>
        <w:snapToGrid/>
        <w:spacing w:after="160" w:line="259" w:lineRule="auto"/>
        <w:contextualSpacing/>
      </w:pPr>
      <w:r>
        <w:t xml:space="preserve">To add: Equality Impact Assessment for this LLP </w:t>
      </w:r>
    </w:p>
    <w:p w14:paraId="45AA254C" w14:textId="77777777" w:rsidR="007B2AD5" w:rsidRDefault="007B2AD5" w:rsidP="007B2AD5">
      <w:pPr>
        <w:pStyle w:val="ListParagraph"/>
        <w:numPr>
          <w:ilvl w:val="0"/>
          <w:numId w:val="23"/>
        </w:numPr>
        <w:autoSpaceDE/>
        <w:autoSpaceDN/>
        <w:adjustRightInd/>
        <w:snapToGrid/>
        <w:spacing w:after="160" w:line="259" w:lineRule="auto"/>
        <w:contextualSpacing/>
      </w:pPr>
      <w:r>
        <w:t>Consultation with the ward members prior to going to Cabinet Member</w:t>
      </w:r>
    </w:p>
    <w:p w14:paraId="1F96654A" w14:textId="77777777" w:rsidR="007B2AD5" w:rsidRDefault="007B2AD5" w:rsidP="007B2AD5">
      <w:pPr>
        <w:spacing w:after="160" w:line="259" w:lineRule="auto"/>
        <w:contextualSpacing/>
      </w:pPr>
    </w:p>
    <w:p w14:paraId="710D698B" w14:textId="77777777" w:rsidR="007B2AD5" w:rsidRDefault="007B2AD5" w:rsidP="007B2AD5">
      <w:pPr>
        <w:spacing w:after="160" w:line="259" w:lineRule="auto"/>
        <w:contextualSpacing/>
      </w:pPr>
    </w:p>
    <w:p w14:paraId="7A35D988" w14:textId="77777777" w:rsidR="007B2AD5" w:rsidRDefault="007B2AD5" w:rsidP="007B2AD5">
      <w:pPr>
        <w:spacing w:after="160" w:line="259" w:lineRule="auto"/>
        <w:contextualSpacing/>
      </w:pPr>
    </w:p>
    <w:p w14:paraId="0541065B" w14:textId="77777777" w:rsidR="007B2AD5" w:rsidRDefault="007B2AD5" w:rsidP="007B2AD5">
      <w:pPr>
        <w:spacing w:after="160" w:line="259" w:lineRule="auto"/>
        <w:contextualSpacing/>
      </w:pPr>
    </w:p>
    <w:p w14:paraId="751DEE07" w14:textId="77777777" w:rsidR="007B2AD5" w:rsidRDefault="007B2AD5" w:rsidP="007B2AD5">
      <w:pPr>
        <w:spacing w:after="160" w:line="259" w:lineRule="auto"/>
        <w:contextualSpacing/>
      </w:pPr>
    </w:p>
    <w:p w14:paraId="2497E741" w14:textId="77777777" w:rsidR="007B2AD5" w:rsidRDefault="007B2AD5" w:rsidP="007B2AD5">
      <w:pPr>
        <w:spacing w:after="160" w:line="259" w:lineRule="auto"/>
        <w:contextualSpacing/>
      </w:pPr>
    </w:p>
    <w:p w14:paraId="063ED14F" w14:textId="77777777" w:rsidR="007B2AD5" w:rsidRDefault="007B2AD5" w:rsidP="007B2AD5">
      <w:pPr>
        <w:spacing w:after="160" w:line="259" w:lineRule="auto"/>
        <w:contextualSpacing/>
      </w:pPr>
    </w:p>
    <w:p w14:paraId="4D77D243" w14:textId="77777777" w:rsidR="007B2AD5" w:rsidRDefault="007B2AD5" w:rsidP="007B2AD5">
      <w:pPr>
        <w:spacing w:after="160" w:line="259" w:lineRule="auto"/>
        <w:contextualSpacing/>
      </w:pPr>
    </w:p>
    <w:p w14:paraId="4F602C20" w14:textId="77777777" w:rsidR="007B2AD5" w:rsidRDefault="007B2AD5" w:rsidP="007B2AD5">
      <w:pPr>
        <w:spacing w:after="160" w:line="259" w:lineRule="auto"/>
        <w:contextualSpacing/>
      </w:pPr>
    </w:p>
    <w:p w14:paraId="34B6B2E8" w14:textId="77777777" w:rsidR="007B2AD5" w:rsidRDefault="007B2AD5" w:rsidP="007B2AD5">
      <w:pPr>
        <w:spacing w:after="160" w:line="259" w:lineRule="auto"/>
        <w:contextualSpacing/>
      </w:pPr>
    </w:p>
    <w:p w14:paraId="1C830368" w14:textId="77777777" w:rsidR="007B2AD5" w:rsidRDefault="007B2AD5" w:rsidP="007B2AD5">
      <w:pPr>
        <w:spacing w:after="160" w:line="259" w:lineRule="auto"/>
        <w:contextualSpacing/>
      </w:pPr>
    </w:p>
    <w:p w14:paraId="01E58308" w14:textId="77777777" w:rsidR="007B2AD5" w:rsidRDefault="007B2AD5" w:rsidP="007B2AD5">
      <w:pPr>
        <w:spacing w:after="160" w:line="259" w:lineRule="auto"/>
        <w:contextualSpacing/>
      </w:pPr>
    </w:p>
    <w:p w14:paraId="2873CA17" w14:textId="77777777" w:rsidR="007B2AD5" w:rsidRDefault="007B2AD5" w:rsidP="007B2AD5">
      <w:pPr>
        <w:spacing w:after="160" w:line="259" w:lineRule="auto"/>
        <w:contextualSpacing/>
      </w:pPr>
    </w:p>
    <w:p w14:paraId="5067A4EE" w14:textId="77777777" w:rsidR="007B2AD5" w:rsidRDefault="007B2AD5" w:rsidP="007B2AD5">
      <w:pPr>
        <w:spacing w:after="160" w:line="259" w:lineRule="auto"/>
        <w:contextualSpacing/>
      </w:pPr>
    </w:p>
    <w:p w14:paraId="3222C3DE" w14:textId="77777777" w:rsidR="007B2AD5" w:rsidRDefault="007B2AD5" w:rsidP="007B2AD5">
      <w:pPr>
        <w:spacing w:after="160" w:line="259" w:lineRule="auto"/>
        <w:contextualSpacing/>
      </w:pPr>
    </w:p>
    <w:p w14:paraId="56EA15D7" w14:textId="77777777" w:rsidR="007B2AD5" w:rsidRDefault="007B2AD5" w:rsidP="007B2AD5">
      <w:pPr>
        <w:spacing w:after="160" w:line="259" w:lineRule="auto"/>
        <w:contextualSpacing/>
      </w:pPr>
    </w:p>
    <w:p w14:paraId="67E5A29D" w14:textId="77777777" w:rsidR="007B2AD5" w:rsidRDefault="007B2AD5" w:rsidP="007B2AD5">
      <w:pPr>
        <w:spacing w:after="160" w:line="259" w:lineRule="auto"/>
        <w:contextualSpacing/>
      </w:pPr>
    </w:p>
    <w:p w14:paraId="5CE3B77C" w14:textId="77777777" w:rsidR="007B2AD5" w:rsidRDefault="007B2AD5" w:rsidP="007B2AD5">
      <w:pPr>
        <w:spacing w:after="160" w:line="259" w:lineRule="auto"/>
        <w:contextualSpacing/>
      </w:pPr>
    </w:p>
    <w:p w14:paraId="3AC4423C" w14:textId="77777777" w:rsidR="007B2AD5" w:rsidRDefault="007B2AD5" w:rsidP="007B2AD5">
      <w:pPr>
        <w:spacing w:after="160" w:line="259" w:lineRule="auto"/>
        <w:contextualSpacing/>
      </w:pPr>
    </w:p>
    <w:p w14:paraId="7537FE3F" w14:textId="77777777" w:rsidR="007B2AD5" w:rsidRDefault="007B2AD5" w:rsidP="007B2AD5">
      <w:pPr>
        <w:spacing w:after="160" w:line="259" w:lineRule="auto"/>
        <w:contextualSpacing/>
      </w:pPr>
    </w:p>
    <w:p w14:paraId="29DE2F11" w14:textId="424D641C" w:rsidR="007B2AD5" w:rsidRPr="00B53207" w:rsidRDefault="007B2AD5" w:rsidP="007B2AD5">
      <w:pPr>
        <w:spacing w:after="160" w:line="259" w:lineRule="auto"/>
        <w:contextualSpacing/>
        <w:rPr>
          <w:b/>
          <w:bCs/>
        </w:rPr>
      </w:pPr>
      <w:r w:rsidRPr="00B53207">
        <w:rPr>
          <w:b/>
          <w:bCs/>
        </w:rPr>
        <w:lastRenderedPageBreak/>
        <w:t>Appen</w:t>
      </w:r>
      <w:r w:rsidR="00B53207" w:rsidRPr="00B53207">
        <w:rPr>
          <w:b/>
          <w:bCs/>
        </w:rPr>
        <w:t>dix B</w:t>
      </w:r>
    </w:p>
    <w:p w14:paraId="05543F64" w14:textId="1504C994" w:rsidR="009B12B5" w:rsidRDefault="009B12B5" w:rsidP="00175CF8">
      <w:pPr>
        <w:spacing w:after="160" w:line="259" w:lineRule="auto"/>
        <w:contextualSpacing/>
      </w:pPr>
    </w:p>
    <w:tbl>
      <w:tblPr>
        <w:tblW w:w="950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1415"/>
        <w:gridCol w:w="1417"/>
        <w:gridCol w:w="1418"/>
        <w:gridCol w:w="123"/>
        <w:gridCol w:w="2570"/>
      </w:tblGrid>
      <w:tr w:rsidR="00735C62" w:rsidRPr="009E519E" w14:paraId="084DBD88" w14:textId="77777777" w:rsidTr="00D3572B">
        <w:trPr>
          <w:gridAfter w:val="1"/>
          <w:wAfter w:w="2570" w:type="dxa"/>
          <w:trHeight w:val="702"/>
        </w:trPr>
        <w:tc>
          <w:tcPr>
            <w:tcW w:w="6930" w:type="dxa"/>
            <w:gridSpan w:val="5"/>
            <w:tcBorders>
              <w:top w:val="nil"/>
              <w:left w:val="nil"/>
              <w:bottom w:val="nil"/>
              <w:right w:val="nil"/>
            </w:tcBorders>
          </w:tcPr>
          <w:p w14:paraId="39EE5C0A" w14:textId="77777777" w:rsidR="00735C62" w:rsidRPr="009E519E" w:rsidRDefault="00735C62" w:rsidP="00D3572B">
            <w:pPr>
              <w:ind w:right="6"/>
              <w:rPr>
                <w:rFonts w:ascii="Calibri" w:hAnsi="Calibri" w:cs="Tahoma"/>
              </w:rPr>
            </w:pPr>
            <w:r w:rsidRPr="009E519E">
              <w:rPr>
                <w:rFonts w:ascii="Calibri" w:hAnsi="Calibri" w:cs="Tahoma"/>
                <w:vertAlign w:val="subscript"/>
              </w:rPr>
              <w:br w:type="page"/>
            </w:r>
            <w:r w:rsidRPr="009E519E">
              <w:rPr>
                <w:rFonts w:ascii="Calibri" w:hAnsi="Calibri" w:cs="Tahoma"/>
              </w:rPr>
              <w:br w:type="page"/>
            </w:r>
            <w:r w:rsidRPr="003018B0">
              <w:rPr>
                <w:rFonts w:ascii="Calibri" w:hAnsi="Calibri" w:cs="Tahoma"/>
                <w:b/>
                <w:sz w:val="32"/>
                <w:szCs w:val="32"/>
              </w:rPr>
              <w:t>Initial EIA</w:t>
            </w:r>
          </w:p>
        </w:tc>
      </w:tr>
      <w:tr w:rsidR="00735C62" w:rsidRPr="009E519E" w14:paraId="374D085F" w14:textId="77777777" w:rsidTr="00D3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0"/>
        </w:trPr>
        <w:tc>
          <w:tcPr>
            <w:tcW w:w="6930" w:type="dxa"/>
            <w:gridSpan w:val="5"/>
            <w:tcBorders>
              <w:top w:val="single" w:sz="6" w:space="0" w:color="000000"/>
              <w:left w:val="single" w:sz="6" w:space="0" w:color="000000"/>
              <w:bottom w:val="single" w:sz="6" w:space="0" w:color="000000"/>
              <w:right w:val="single" w:sz="8" w:space="0" w:color="000000"/>
            </w:tcBorders>
            <w:shd w:val="clear" w:color="auto" w:fill="auto"/>
            <w:tcMar>
              <w:top w:w="72" w:type="dxa"/>
              <w:left w:w="144" w:type="dxa"/>
              <w:bottom w:w="72" w:type="dxa"/>
              <w:right w:w="144" w:type="dxa"/>
            </w:tcMar>
            <w:vAlign w:val="center"/>
          </w:tcPr>
          <w:p w14:paraId="296CD257" w14:textId="77777777" w:rsidR="00735C62" w:rsidRPr="009E519E" w:rsidRDefault="00735C62" w:rsidP="00D3572B">
            <w:pPr>
              <w:pStyle w:val="NormalWeb"/>
              <w:spacing w:before="0" w:beforeAutospacing="0"/>
              <w:ind w:left="547" w:hanging="547"/>
              <w:textAlignment w:val="baseline"/>
              <w:rPr>
                <w:rFonts w:ascii="Calibri" w:hAnsi="Calibri" w:cs="Arial"/>
              </w:rPr>
            </w:pPr>
            <w:r w:rsidRPr="009E519E">
              <w:rPr>
                <w:rFonts w:ascii="Calibri" w:hAnsi="Calibri" w:cs="Tahoma"/>
                <w:b/>
                <w:bCs/>
                <w:color w:val="000000"/>
                <w:kern w:val="24"/>
              </w:rPr>
              <w:t>Person responsible for the assessment</w:t>
            </w:r>
          </w:p>
        </w:tc>
        <w:tc>
          <w:tcPr>
            <w:tcW w:w="2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ECE1578" w14:textId="77777777" w:rsidR="00735C62" w:rsidRDefault="00735C62" w:rsidP="00D3572B">
            <w:pPr>
              <w:spacing w:after="200" w:line="276" w:lineRule="auto"/>
              <w:rPr>
                <w:rFonts w:ascii="Calibri" w:hAnsi="Calibri" w:cs="Arial"/>
              </w:rPr>
            </w:pPr>
            <w:r>
              <w:rPr>
                <w:rFonts w:ascii="Calibri" w:hAnsi="Calibri" w:cs="Arial"/>
              </w:rPr>
              <w:t>John Rice – Policy and Strategy Manager</w:t>
            </w:r>
          </w:p>
          <w:p w14:paraId="531A6978" w14:textId="77777777" w:rsidR="00735C62" w:rsidRPr="009E519E" w:rsidRDefault="00735C62" w:rsidP="00D3572B">
            <w:pPr>
              <w:spacing w:after="200" w:line="276" w:lineRule="auto"/>
              <w:rPr>
                <w:rFonts w:ascii="Calibri" w:hAnsi="Calibri" w:cs="Arial"/>
              </w:rPr>
            </w:pPr>
            <w:r>
              <w:rPr>
                <w:rFonts w:ascii="Calibri" w:hAnsi="Calibri" w:cs="Arial"/>
              </w:rPr>
              <w:t>Christina Mooney – Customer Access Team Leader</w:t>
            </w:r>
          </w:p>
        </w:tc>
      </w:tr>
      <w:tr w:rsidR="00735C62" w:rsidRPr="009E519E" w14:paraId="11441D7C" w14:textId="77777777" w:rsidTr="00D3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19"/>
        </w:trPr>
        <w:tc>
          <w:tcPr>
            <w:tcW w:w="6930" w:type="dxa"/>
            <w:gridSpan w:val="5"/>
            <w:tcBorders>
              <w:top w:val="single" w:sz="6" w:space="0" w:color="000000"/>
              <w:left w:val="single" w:sz="6" w:space="0" w:color="000000"/>
              <w:bottom w:val="single" w:sz="6" w:space="0" w:color="000000"/>
              <w:right w:val="single" w:sz="8" w:space="0" w:color="000000"/>
            </w:tcBorders>
            <w:shd w:val="clear" w:color="auto" w:fill="auto"/>
            <w:tcMar>
              <w:top w:w="72" w:type="dxa"/>
              <w:left w:w="144" w:type="dxa"/>
              <w:bottom w:w="72" w:type="dxa"/>
              <w:right w:w="144" w:type="dxa"/>
            </w:tcMar>
            <w:vAlign w:val="center"/>
          </w:tcPr>
          <w:p w14:paraId="2146EDF2" w14:textId="77777777" w:rsidR="00735C62" w:rsidRPr="009E519E" w:rsidRDefault="00735C62" w:rsidP="00D3572B">
            <w:pPr>
              <w:pStyle w:val="NormalWeb"/>
              <w:spacing w:before="0" w:beforeAutospacing="0"/>
              <w:ind w:left="547" w:hanging="547"/>
              <w:textAlignment w:val="baseline"/>
              <w:rPr>
                <w:rFonts w:ascii="Calibri" w:hAnsi="Calibri" w:cs="Arial"/>
              </w:rPr>
            </w:pPr>
            <w:r w:rsidRPr="009E519E">
              <w:rPr>
                <w:rFonts w:ascii="Calibri" w:hAnsi="Calibri" w:cs="Tahoma"/>
                <w:b/>
                <w:bCs/>
                <w:color w:val="000000"/>
                <w:kern w:val="24"/>
              </w:rPr>
              <w:t>Team</w:t>
            </w:r>
            <w:r w:rsidRPr="009E519E">
              <w:rPr>
                <w:rFonts w:ascii="Calibri" w:hAnsi="Calibri" w:cs="Tahoma"/>
                <w:color w:val="000000"/>
                <w:kern w:val="24"/>
              </w:rPr>
              <w:t xml:space="preserve"> </w:t>
            </w:r>
          </w:p>
        </w:tc>
        <w:tc>
          <w:tcPr>
            <w:tcW w:w="2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92310B1" w14:textId="77777777" w:rsidR="00735C62" w:rsidRPr="009E519E" w:rsidRDefault="00735C62" w:rsidP="00D3572B">
            <w:pPr>
              <w:pStyle w:val="NormalWeb"/>
              <w:spacing w:before="0" w:beforeAutospacing="0"/>
              <w:ind w:left="16" w:hanging="16"/>
              <w:textAlignment w:val="baseline"/>
              <w:rPr>
                <w:rFonts w:ascii="Calibri" w:hAnsi="Calibri" w:cs="Arial"/>
              </w:rPr>
            </w:pPr>
            <w:r>
              <w:rPr>
                <w:rFonts w:ascii="Calibri" w:hAnsi="Calibri" w:cs="Arial"/>
              </w:rPr>
              <w:t>Neighbourhood Services</w:t>
            </w:r>
          </w:p>
        </w:tc>
      </w:tr>
      <w:tr w:rsidR="00735C62" w:rsidRPr="009E519E" w14:paraId="1A9049D1" w14:textId="77777777" w:rsidTr="00D3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711"/>
        </w:trPr>
        <w:tc>
          <w:tcPr>
            <w:tcW w:w="6930" w:type="dxa"/>
            <w:gridSpan w:val="5"/>
            <w:tcBorders>
              <w:top w:val="single" w:sz="6" w:space="0" w:color="000000"/>
              <w:left w:val="single" w:sz="6" w:space="0" w:color="000000"/>
              <w:bottom w:val="single" w:sz="6" w:space="0" w:color="000000"/>
              <w:right w:val="single" w:sz="8" w:space="0" w:color="000000"/>
            </w:tcBorders>
            <w:shd w:val="clear" w:color="auto" w:fill="auto"/>
            <w:tcMar>
              <w:top w:w="72" w:type="dxa"/>
              <w:left w:w="144" w:type="dxa"/>
              <w:bottom w:w="72" w:type="dxa"/>
              <w:right w:w="144" w:type="dxa"/>
            </w:tcMar>
            <w:vAlign w:val="center"/>
          </w:tcPr>
          <w:p w14:paraId="7D2BE6F3" w14:textId="77777777" w:rsidR="00735C62" w:rsidRPr="009E519E" w:rsidRDefault="00735C62" w:rsidP="00D3572B">
            <w:pPr>
              <w:pStyle w:val="NormalWeb"/>
              <w:spacing w:before="0" w:beforeAutospacing="0"/>
              <w:textAlignment w:val="baseline"/>
              <w:rPr>
                <w:rFonts w:ascii="Calibri" w:hAnsi="Calibri" w:cs="Arial"/>
              </w:rPr>
            </w:pPr>
            <w:r w:rsidRPr="009E519E">
              <w:rPr>
                <w:rFonts w:ascii="Calibri" w:hAnsi="Calibri" w:cs="Tahoma"/>
                <w:b/>
                <w:bCs/>
                <w:color w:val="000000"/>
                <w:kern w:val="24"/>
              </w:rPr>
              <w:t xml:space="preserve">Name of the service, </w:t>
            </w:r>
            <w:r>
              <w:rPr>
                <w:rFonts w:ascii="Calibri" w:hAnsi="Calibri" w:cs="Tahoma"/>
                <w:b/>
                <w:bCs/>
                <w:color w:val="000000"/>
                <w:kern w:val="24"/>
              </w:rPr>
              <w:t>service area</w:t>
            </w:r>
            <w:r w:rsidRPr="009E519E">
              <w:rPr>
                <w:rFonts w:ascii="Calibri" w:hAnsi="Calibri" w:cs="Tahoma"/>
                <w:b/>
                <w:bCs/>
                <w:color w:val="000000"/>
                <w:kern w:val="24"/>
              </w:rPr>
              <w:t xml:space="preserve"> or </w:t>
            </w:r>
            <w:r>
              <w:rPr>
                <w:rFonts w:ascii="Calibri" w:hAnsi="Calibri" w:cs="Tahoma"/>
                <w:b/>
                <w:bCs/>
                <w:color w:val="000000"/>
                <w:kern w:val="24"/>
              </w:rPr>
              <w:t>Policy</w:t>
            </w:r>
            <w:r w:rsidRPr="009E519E">
              <w:rPr>
                <w:rFonts w:ascii="Calibri" w:hAnsi="Calibri" w:cs="Tahoma"/>
                <w:b/>
                <w:bCs/>
                <w:color w:val="000000"/>
                <w:kern w:val="24"/>
              </w:rPr>
              <w:t xml:space="preserve"> to be assessed</w:t>
            </w:r>
            <w:r w:rsidRPr="009E519E">
              <w:rPr>
                <w:rFonts w:ascii="Calibri" w:hAnsi="Calibri" w:cs="Tahoma"/>
                <w:color w:val="000000"/>
                <w:kern w:val="24"/>
              </w:rPr>
              <w:t xml:space="preserve"> </w:t>
            </w:r>
          </w:p>
        </w:tc>
        <w:tc>
          <w:tcPr>
            <w:tcW w:w="2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847EE5E" w14:textId="77777777" w:rsidR="00735C62" w:rsidRPr="009E519E" w:rsidRDefault="00735C62" w:rsidP="00D3572B">
            <w:pPr>
              <w:pStyle w:val="NormalWeb"/>
              <w:spacing w:before="0" w:beforeAutospacing="0"/>
              <w:textAlignment w:val="baseline"/>
              <w:rPr>
                <w:rFonts w:ascii="Calibri" w:hAnsi="Calibri" w:cs="Arial"/>
              </w:rPr>
            </w:pPr>
            <w:r>
              <w:rPr>
                <w:rFonts w:ascii="Calibri" w:hAnsi="Calibri" w:cs="Arial"/>
              </w:rPr>
              <w:t>Local Lettings Policy for Morris Meadows</w:t>
            </w:r>
          </w:p>
        </w:tc>
      </w:tr>
      <w:tr w:rsidR="00735C62" w:rsidRPr="009E519E" w14:paraId="3E1E154D" w14:textId="77777777" w:rsidTr="00D3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99"/>
        </w:trPr>
        <w:tc>
          <w:tcPr>
            <w:tcW w:w="6930" w:type="dxa"/>
            <w:gridSpan w:val="5"/>
            <w:tcBorders>
              <w:top w:val="single" w:sz="6" w:space="0" w:color="000000"/>
              <w:left w:val="single" w:sz="6" w:space="0" w:color="000000"/>
              <w:bottom w:val="single" w:sz="6" w:space="0" w:color="000000"/>
              <w:right w:val="single" w:sz="8" w:space="0" w:color="000000"/>
            </w:tcBorders>
            <w:shd w:val="clear" w:color="auto" w:fill="auto"/>
            <w:tcMar>
              <w:top w:w="72" w:type="dxa"/>
              <w:left w:w="144" w:type="dxa"/>
              <w:bottom w:w="72" w:type="dxa"/>
              <w:right w:w="144" w:type="dxa"/>
            </w:tcMar>
            <w:vAlign w:val="center"/>
          </w:tcPr>
          <w:p w14:paraId="2C6C9D36" w14:textId="77777777" w:rsidR="00735C62" w:rsidRPr="009E519E" w:rsidRDefault="00735C62" w:rsidP="00D3572B">
            <w:pPr>
              <w:pStyle w:val="NormalWeb"/>
              <w:spacing w:before="0" w:beforeAutospacing="0"/>
              <w:ind w:left="547" w:hanging="547"/>
              <w:textAlignment w:val="baseline"/>
              <w:rPr>
                <w:rFonts w:ascii="Calibri" w:hAnsi="Calibri" w:cs="Arial"/>
              </w:rPr>
            </w:pPr>
            <w:r w:rsidRPr="009E519E">
              <w:rPr>
                <w:rFonts w:ascii="Calibri" w:hAnsi="Calibri" w:cs="Tahoma"/>
                <w:b/>
                <w:bCs/>
                <w:color w:val="000000"/>
                <w:kern w:val="24"/>
              </w:rPr>
              <w:t xml:space="preserve">Is this a new or existing </w:t>
            </w:r>
            <w:r>
              <w:rPr>
                <w:rFonts w:ascii="Calibri" w:hAnsi="Calibri" w:cs="Tahoma"/>
                <w:b/>
                <w:bCs/>
                <w:color w:val="000000"/>
                <w:kern w:val="24"/>
              </w:rPr>
              <w:t>Policy</w:t>
            </w:r>
            <w:r w:rsidRPr="009E519E">
              <w:rPr>
                <w:rFonts w:ascii="Calibri" w:hAnsi="Calibri" w:cs="Tahoma"/>
                <w:b/>
                <w:bCs/>
                <w:color w:val="000000"/>
                <w:kern w:val="24"/>
              </w:rPr>
              <w:t xml:space="preserve"> / service area</w:t>
            </w:r>
            <w:r w:rsidRPr="009E519E">
              <w:rPr>
                <w:rFonts w:ascii="Calibri" w:hAnsi="Calibri" w:cs="Tahoma"/>
                <w:color w:val="000000"/>
                <w:kern w:val="24"/>
              </w:rPr>
              <w:t xml:space="preserve"> </w:t>
            </w:r>
          </w:p>
        </w:tc>
        <w:tc>
          <w:tcPr>
            <w:tcW w:w="2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DD7E2A1" w14:textId="77777777" w:rsidR="00735C62" w:rsidRPr="009E519E" w:rsidRDefault="00735C62" w:rsidP="00D3572B">
            <w:pPr>
              <w:pStyle w:val="NormalWeb"/>
              <w:spacing w:before="0" w:beforeAutospacing="0"/>
              <w:ind w:left="547" w:hanging="547"/>
              <w:textAlignment w:val="baseline"/>
              <w:rPr>
                <w:rFonts w:ascii="Calibri" w:hAnsi="Calibri" w:cs="Arial"/>
              </w:rPr>
            </w:pPr>
            <w:r>
              <w:rPr>
                <w:rFonts w:ascii="Calibri" w:hAnsi="Calibri" w:cs="Arial"/>
              </w:rPr>
              <w:t>New Policy</w:t>
            </w:r>
          </w:p>
        </w:tc>
      </w:tr>
      <w:tr w:rsidR="00735C62" w:rsidRPr="009E519E" w14:paraId="68C153E0" w14:textId="77777777" w:rsidTr="00D3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97"/>
        </w:trPr>
        <w:tc>
          <w:tcPr>
            <w:tcW w:w="6930" w:type="dxa"/>
            <w:gridSpan w:val="5"/>
            <w:tcBorders>
              <w:top w:val="single" w:sz="6" w:space="0" w:color="000000"/>
              <w:left w:val="single" w:sz="6" w:space="0" w:color="000000"/>
              <w:bottom w:val="single" w:sz="6" w:space="0" w:color="000000"/>
              <w:right w:val="single" w:sz="8" w:space="0" w:color="000000"/>
            </w:tcBorders>
            <w:shd w:val="clear" w:color="auto" w:fill="auto"/>
            <w:tcMar>
              <w:top w:w="72" w:type="dxa"/>
              <w:left w:w="144" w:type="dxa"/>
              <w:bottom w:w="72" w:type="dxa"/>
              <w:right w:w="144" w:type="dxa"/>
            </w:tcMar>
            <w:vAlign w:val="center"/>
          </w:tcPr>
          <w:p w14:paraId="23240A82" w14:textId="77777777" w:rsidR="00735C62" w:rsidRPr="009E519E" w:rsidRDefault="00735C62" w:rsidP="00D3572B">
            <w:pPr>
              <w:pStyle w:val="NormalWeb"/>
              <w:spacing w:before="0" w:beforeAutospacing="0"/>
              <w:ind w:left="547" w:hanging="547"/>
              <w:textAlignment w:val="baseline"/>
              <w:rPr>
                <w:rFonts w:ascii="Calibri" w:hAnsi="Calibri" w:cs="Arial"/>
              </w:rPr>
            </w:pPr>
            <w:r w:rsidRPr="009E519E">
              <w:rPr>
                <w:rFonts w:ascii="Calibri" w:hAnsi="Calibri" w:cs="Tahoma"/>
                <w:b/>
                <w:bCs/>
                <w:color w:val="000000"/>
                <w:kern w:val="24"/>
              </w:rPr>
              <w:t>Date of assessment</w:t>
            </w:r>
            <w:r w:rsidRPr="009E519E">
              <w:rPr>
                <w:rFonts w:ascii="Calibri" w:hAnsi="Calibri" w:cs="Tahoma"/>
                <w:color w:val="000000"/>
                <w:kern w:val="24"/>
              </w:rPr>
              <w:t xml:space="preserve"> </w:t>
            </w:r>
          </w:p>
        </w:tc>
        <w:tc>
          <w:tcPr>
            <w:tcW w:w="2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8B3E768" w14:textId="77777777" w:rsidR="00735C62" w:rsidRPr="009E519E" w:rsidRDefault="00735C62" w:rsidP="00D3572B">
            <w:pPr>
              <w:pStyle w:val="NormalWeb"/>
              <w:spacing w:before="0" w:beforeAutospacing="0"/>
              <w:ind w:left="547" w:hanging="547"/>
              <w:textAlignment w:val="baseline"/>
              <w:rPr>
                <w:rFonts w:ascii="Calibri" w:hAnsi="Calibri" w:cs="Arial"/>
              </w:rPr>
            </w:pPr>
            <w:r>
              <w:rPr>
                <w:rFonts w:ascii="Calibri" w:hAnsi="Calibri" w:cs="Arial"/>
              </w:rPr>
              <w:t>19-09-24</w:t>
            </w:r>
          </w:p>
        </w:tc>
      </w:tr>
      <w:tr w:rsidR="00735C62" w:rsidRPr="009E519E" w14:paraId="6CF90674" w14:textId="77777777" w:rsidTr="00D3572B">
        <w:trPr>
          <w:trHeight w:val="121"/>
        </w:trPr>
        <w:tc>
          <w:tcPr>
            <w:tcW w:w="6930" w:type="dxa"/>
            <w:gridSpan w:val="5"/>
            <w:tcBorders>
              <w:top w:val="single" w:sz="4" w:space="0" w:color="auto"/>
              <w:left w:val="nil"/>
              <w:bottom w:val="single" w:sz="4" w:space="0" w:color="auto"/>
              <w:right w:val="nil"/>
            </w:tcBorders>
            <w:vAlign w:val="center"/>
          </w:tcPr>
          <w:p w14:paraId="5BBBA312" w14:textId="77777777" w:rsidR="00735C62" w:rsidRPr="009E519E" w:rsidRDefault="00735C62" w:rsidP="00D3572B">
            <w:pPr>
              <w:ind w:right="6"/>
              <w:rPr>
                <w:rFonts w:ascii="Calibri" w:hAnsi="Calibri" w:cs="Tahoma"/>
              </w:rPr>
            </w:pPr>
          </w:p>
        </w:tc>
        <w:tc>
          <w:tcPr>
            <w:tcW w:w="2570" w:type="dxa"/>
            <w:tcBorders>
              <w:left w:val="nil"/>
              <w:bottom w:val="single" w:sz="4" w:space="0" w:color="auto"/>
              <w:right w:val="nil"/>
            </w:tcBorders>
            <w:vAlign w:val="center"/>
          </w:tcPr>
          <w:p w14:paraId="486BDC8E" w14:textId="77777777" w:rsidR="00735C62" w:rsidRPr="009E519E" w:rsidRDefault="00735C62" w:rsidP="00D3572B">
            <w:pPr>
              <w:ind w:right="6"/>
              <w:rPr>
                <w:rFonts w:ascii="Calibri" w:hAnsi="Calibri" w:cs="Tahoma"/>
              </w:rPr>
            </w:pPr>
          </w:p>
        </w:tc>
      </w:tr>
      <w:tr w:rsidR="00735C62" w:rsidRPr="009E519E" w14:paraId="5A0818B3" w14:textId="77777777" w:rsidTr="00D3572B">
        <w:trPr>
          <w:trHeight w:val="375"/>
        </w:trPr>
        <w:tc>
          <w:tcPr>
            <w:tcW w:w="9500" w:type="dxa"/>
            <w:gridSpan w:val="6"/>
            <w:tcBorders>
              <w:top w:val="single" w:sz="4" w:space="0" w:color="auto"/>
              <w:left w:val="single" w:sz="4" w:space="0" w:color="auto"/>
              <w:bottom w:val="nil"/>
            </w:tcBorders>
            <w:shd w:val="clear" w:color="auto" w:fill="D9D9D9" w:themeFill="background1" w:themeFillShade="D9"/>
            <w:vAlign w:val="center"/>
          </w:tcPr>
          <w:p w14:paraId="28798C4C" w14:textId="77777777" w:rsidR="00735C62" w:rsidRPr="009E519E" w:rsidRDefault="00735C62" w:rsidP="00D3572B">
            <w:pPr>
              <w:rPr>
                <w:rFonts w:ascii="Calibri" w:hAnsi="Calibri" w:cs="Tahoma"/>
              </w:rPr>
            </w:pPr>
            <w:r w:rsidRPr="009E519E">
              <w:rPr>
                <w:rFonts w:ascii="Calibri" w:hAnsi="Calibri" w:cs="Tahoma"/>
              </w:rPr>
              <w:t>Please provide a brief des</w:t>
            </w:r>
            <w:r>
              <w:rPr>
                <w:rFonts w:ascii="Calibri" w:hAnsi="Calibri" w:cs="Tahoma"/>
              </w:rPr>
              <w:t>cription of the service</w:t>
            </w:r>
            <w:r w:rsidRPr="009E519E">
              <w:rPr>
                <w:rFonts w:ascii="Calibri" w:hAnsi="Calibri" w:cs="Tahoma"/>
              </w:rPr>
              <w:t>/</w:t>
            </w:r>
            <w:r>
              <w:rPr>
                <w:rFonts w:ascii="Calibri" w:hAnsi="Calibri" w:cs="Tahoma"/>
              </w:rPr>
              <w:t>Policy</w:t>
            </w:r>
            <w:r w:rsidRPr="009E519E">
              <w:rPr>
                <w:rFonts w:ascii="Calibri" w:hAnsi="Calibri" w:cs="Tahoma"/>
              </w:rPr>
              <w:t xml:space="preserve"> or the propose</w:t>
            </w:r>
            <w:r>
              <w:rPr>
                <w:rFonts w:ascii="Calibri" w:hAnsi="Calibri" w:cs="Tahoma"/>
              </w:rPr>
              <w:t>d change to the service</w:t>
            </w:r>
            <w:r w:rsidRPr="009E519E">
              <w:rPr>
                <w:rFonts w:ascii="Calibri" w:hAnsi="Calibri" w:cs="Tahoma"/>
              </w:rPr>
              <w:t>/</w:t>
            </w:r>
            <w:r>
              <w:rPr>
                <w:rFonts w:ascii="Calibri" w:hAnsi="Calibri" w:cs="Tahoma"/>
              </w:rPr>
              <w:t>Policy</w:t>
            </w:r>
            <w:r w:rsidRPr="009E519E">
              <w:rPr>
                <w:rFonts w:ascii="Calibri" w:hAnsi="Calibri" w:cs="Tahoma"/>
              </w:rPr>
              <w:t>.</w:t>
            </w:r>
          </w:p>
        </w:tc>
      </w:tr>
      <w:tr w:rsidR="00735C62" w:rsidRPr="009E519E" w14:paraId="6E074C42" w14:textId="77777777" w:rsidTr="00D3572B">
        <w:trPr>
          <w:trHeight w:val="375"/>
        </w:trPr>
        <w:tc>
          <w:tcPr>
            <w:tcW w:w="9500" w:type="dxa"/>
            <w:gridSpan w:val="6"/>
            <w:tcBorders>
              <w:top w:val="single" w:sz="4" w:space="0" w:color="auto"/>
              <w:left w:val="single" w:sz="4" w:space="0" w:color="auto"/>
              <w:bottom w:val="nil"/>
            </w:tcBorders>
            <w:vAlign w:val="center"/>
          </w:tcPr>
          <w:p w14:paraId="03A863BF" w14:textId="1ECCBCE5" w:rsidR="00735C62" w:rsidRPr="00AE6342" w:rsidRDefault="00735C62" w:rsidP="00735C62">
            <w:pPr>
              <w:pStyle w:val="ListParagraph"/>
              <w:numPr>
                <w:ilvl w:val="0"/>
                <w:numId w:val="25"/>
              </w:numPr>
              <w:autoSpaceDE/>
              <w:autoSpaceDN/>
              <w:adjustRightInd/>
              <w:snapToGrid/>
              <w:spacing w:after="0"/>
              <w:contextualSpacing/>
              <w:rPr>
                <w:rFonts w:ascii="Calibri" w:hAnsi="Calibri" w:cs="Tahoma"/>
              </w:rPr>
            </w:pPr>
            <w:r>
              <w:rPr>
                <w:rFonts w:ascii="Calibri" w:hAnsi="Calibri" w:cs="Tahoma"/>
              </w:rPr>
              <w:t>OVH in agreement with Sefton MBC are looking to introduce a Local Lettings Policy for the Morris Meadows development, 53 Braidwood Road, Netherton, prior to the scheme being handed over and ready for first lettings, anticipated to be from October 2024, onwards.  The mixed tenure site comprises of shared ownership and rent to buy houses and a low-rise apartment block (three storeys) made up of:</w:t>
            </w:r>
          </w:p>
        </w:tc>
      </w:tr>
      <w:tr w:rsidR="00735C62" w:rsidRPr="009E519E" w14:paraId="5966997A" w14:textId="77777777" w:rsidTr="00D3572B">
        <w:trPr>
          <w:trHeight w:val="80"/>
        </w:trPr>
        <w:tc>
          <w:tcPr>
            <w:tcW w:w="9500" w:type="dxa"/>
            <w:gridSpan w:val="6"/>
            <w:tcBorders>
              <w:top w:val="nil"/>
              <w:left w:val="single" w:sz="4" w:space="0" w:color="auto"/>
              <w:bottom w:val="single" w:sz="4" w:space="0" w:color="auto"/>
              <w:right w:val="single" w:sz="4" w:space="0" w:color="auto"/>
            </w:tcBorders>
          </w:tcPr>
          <w:p w14:paraId="290570D2" w14:textId="77777777" w:rsidR="00735C62" w:rsidRDefault="00735C62" w:rsidP="00735C62">
            <w:pPr>
              <w:pStyle w:val="ListParagraph"/>
              <w:numPr>
                <w:ilvl w:val="1"/>
                <w:numId w:val="25"/>
              </w:numPr>
              <w:autoSpaceDE/>
              <w:autoSpaceDN/>
              <w:adjustRightInd/>
              <w:snapToGrid/>
              <w:spacing w:after="0"/>
              <w:ind w:right="6"/>
              <w:contextualSpacing/>
              <w:rPr>
                <w:rFonts w:ascii="Calibri" w:hAnsi="Calibri" w:cs="Tahoma"/>
              </w:rPr>
            </w:pPr>
            <w:r w:rsidRPr="008B7F84">
              <w:rPr>
                <w:rFonts w:ascii="Calibri" w:hAnsi="Calibri" w:cs="Tahoma"/>
              </w:rPr>
              <w:t>24 x 1-bedroom apartments</w:t>
            </w:r>
          </w:p>
          <w:p w14:paraId="50C5F10B" w14:textId="77777777" w:rsidR="00735C62" w:rsidRDefault="00735C62" w:rsidP="00735C62">
            <w:pPr>
              <w:pStyle w:val="ListParagraph"/>
              <w:numPr>
                <w:ilvl w:val="1"/>
                <w:numId w:val="25"/>
              </w:numPr>
              <w:autoSpaceDE/>
              <w:autoSpaceDN/>
              <w:adjustRightInd/>
              <w:snapToGrid/>
              <w:spacing w:after="0"/>
              <w:ind w:right="6"/>
              <w:contextualSpacing/>
              <w:rPr>
                <w:rFonts w:ascii="Calibri" w:hAnsi="Calibri" w:cs="Tahoma"/>
              </w:rPr>
            </w:pPr>
            <w:r w:rsidRPr="008B7F84">
              <w:rPr>
                <w:rFonts w:ascii="Calibri" w:hAnsi="Calibri" w:cs="Tahoma"/>
              </w:rPr>
              <w:t>33 x 2-bedroom apartments</w:t>
            </w:r>
          </w:p>
          <w:p w14:paraId="54BD1B25" w14:textId="77777777" w:rsidR="00735C62" w:rsidRDefault="00735C62" w:rsidP="00735C62">
            <w:pPr>
              <w:pStyle w:val="ListParagraph"/>
              <w:numPr>
                <w:ilvl w:val="1"/>
                <w:numId w:val="25"/>
              </w:numPr>
              <w:autoSpaceDE/>
              <w:autoSpaceDN/>
              <w:adjustRightInd/>
              <w:snapToGrid/>
              <w:spacing w:after="0"/>
              <w:ind w:right="6"/>
              <w:contextualSpacing/>
              <w:rPr>
                <w:rFonts w:ascii="Calibri" w:hAnsi="Calibri" w:cs="Tahoma"/>
              </w:rPr>
            </w:pPr>
            <w:r w:rsidRPr="008B7F84">
              <w:rPr>
                <w:rFonts w:ascii="Calibri" w:hAnsi="Calibri" w:cs="Tahoma"/>
              </w:rPr>
              <w:t>1 x 3-bedroom apartment</w:t>
            </w:r>
          </w:p>
          <w:p w14:paraId="75C746B6" w14:textId="77777777" w:rsidR="00735C62" w:rsidRDefault="00735C62" w:rsidP="00735C62">
            <w:pPr>
              <w:pStyle w:val="ListParagraph"/>
              <w:numPr>
                <w:ilvl w:val="0"/>
                <w:numId w:val="25"/>
              </w:numPr>
              <w:autoSpaceDE/>
              <w:autoSpaceDN/>
              <w:adjustRightInd/>
              <w:snapToGrid/>
              <w:spacing w:after="0"/>
              <w:ind w:right="6"/>
              <w:contextualSpacing/>
              <w:rPr>
                <w:rFonts w:ascii="Calibri" w:hAnsi="Calibri" w:cs="Tahoma"/>
              </w:rPr>
            </w:pPr>
            <w:r>
              <w:rPr>
                <w:rFonts w:ascii="Calibri" w:hAnsi="Calibri" w:cs="Tahoma"/>
              </w:rPr>
              <w:t>The apartment block only (not house type properties) would be subject to the Local Lettings Policy and the inclusion of additional letting criteria (to be included in adverts for vacant properties through the sub-regional choice-based lettings scheme – Property Pool Plus - PPP) for a proportion of the available properties (34 of the total 58, which would be maintained if any properties become available for future letting and for the indefinite period where the Local Letting Policy, in its proposed form, is in place)</w:t>
            </w:r>
          </w:p>
          <w:p w14:paraId="78F0A003" w14:textId="77777777" w:rsidR="00735C62" w:rsidRDefault="00735C62" w:rsidP="00735C62">
            <w:pPr>
              <w:pStyle w:val="ListParagraph"/>
              <w:numPr>
                <w:ilvl w:val="0"/>
                <w:numId w:val="25"/>
              </w:numPr>
              <w:autoSpaceDE/>
              <w:autoSpaceDN/>
              <w:adjustRightInd/>
              <w:snapToGrid/>
              <w:spacing w:after="0"/>
              <w:ind w:right="6"/>
              <w:contextualSpacing/>
              <w:rPr>
                <w:rFonts w:ascii="Calibri" w:hAnsi="Calibri" w:cs="Tahoma"/>
              </w:rPr>
            </w:pPr>
            <w:r>
              <w:rPr>
                <w:rFonts w:ascii="Calibri" w:hAnsi="Calibri" w:cs="Tahoma"/>
              </w:rPr>
              <w:t xml:space="preserve">The additional lettings criteria </w:t>
            </w:r>
            <w:proofErr w:type="gramStart"/>
            <w:r>
              <w:rPr>
                <w:rFonts w:ascii="Calibri" w:hAnsi="Calibri" w:cs="Tahoma"/>
              </w:rPr>
              <w:t>is</w:t>
            </w:r>
            <w:proofErr w:type="gramEnd"/>
            <w:r>
              <w:rPr>
                <w:rFonts w:ascii="Calibri" w:hAnsi="Calibri" w:cs="Tahoma"/>
              </w:rPr>
              <w:t xml:space="preserve"> as follows:</w:t>
            </w:r>
          </w:p>
          <w:p w14:paraId="42378282" w14:textId="77777777" w:rsidR="00735C62" w:rsidRDefault="00735C62" w:rsidP="00735C62">
            <w:pPr>
              <w:pStyle w:val="ListParagraph"/>
              <w:numPr>
                <w:ilvl w:val="1"/>
                <w:numId w:val="25"/>
              </w:numPr>
              <w:autoSpaceDE/>
              <w:autoSpaceDN/>
              <w:adjustRightInd/>
              <w:snapToGrid/>
              <w:spacing w:after="0"/>
              <w:ind w:right="6"/>
              <w:contextualSpacing/>
              <w:rPr>
                <w:rFonts w:ascii="Calibri" w:hAnsi="Calibri" w:cs="Tahoma"/>
              </w:rPr>
            </w:pPr>
            <w:r>
              <w:rPr>
                <w:rFonts w:ascii="Calibri" w:hAnsi="Calibri" w:cs="Tahoma"/>
              </w:rPr>
              <w:t>10 of the 18 ground floor apartments have level access showers / wet rooms and preference will be given to applicants whose housing needs match this type of facility (note the properties would not be fully wheelchair accessible)</w:t>
            </w:r>
          </w:p>
          <w:p w14:paraId="669692F6" w14:textId="12B43B63" w:rsidR="00735C62" w:rsidRDefault="00735C62" w:rsidP="00735C62">
            <w:pPr>
              <w:pStyle w:val="ListParagraph"/>
              <w:numPr>
                <w:ilvl w:val="1"/>
                <w:numId w:val="25"/>
              </w:numPr>
              <w:autoSpaceDE/>
              <w:autoSpaceDN/>
              <w:adjustRightInd/>
              <w:snapToGrid/>
              <w:spacing w:after="0"/>
              <w:ind w:right="6"/>
              <w:contextualSpacing/>
              <w:rPr>
                <w:rFonts w:ascii="Calibri" w:hAnsi="Calibri" w:cs="Tahoma"/>
              </w:rPr>
            </w:pPr>
            <w:r>
              <w:rPr>
                <w:rFonts w:ascii="Calibri" w:hAnsi="Calibri" w:cs="Tahoma"/>
              </w:rPr>
              <w:t>Of the remaining 48 properties, 24 would be reserved for applicants who are in employment or full-time education</w:t>
            </w:r>
            <w:r w:rsidR="00BF4797">
              <w:rPr>
                <w:rFonts w:ascii="Calibri" w:hAnsi="Calibri" w:cs="Tahoma"/>
              </w:rPr>
              <w:t>.</w:t>
            </w:r>
          </w:p>
          <w:p w14:paraId="3990CA20" w14:textId="2756FBAA" w:rsidR="00735C62" w:rsidRDefault="00735C62" w:rsidP="00735C62">
            <w:pPr>
              <w:pStyle w:val="ListParagraph"/>
              <w:numPr>
                <w:ilvl w:val="1"/>
                <w:numId w:val="25"/>
              </w:numPr>
              <w:autoSpaceDE/>
              <w:autoSpaceDN/>
              <w:adjustRightInd/>
              <w:snapToGrid/>
              <w:spacing w:after="0"/>
              <w:ind w:right="6"/>
              <w:contextualSpacing/>
              <w:rPr>
                <w:rFonts w:ascii="Calibri" w:hAnsi="Calibri" w:cs="Tahoma"/>
              </w:rPr>
            </w:pPr>
            <w:r>
              <w:rPr>
                <w:rFonts w:ascii="Calibri" w:hAnsi="Calibri" w:cs="Tahoma"/>
              </w:rPr>
              <w:lastRenderedPageBreak/>
              <w:t>All applicants, covered by the Local Lettings Policy will need to have satisfied PPP eligibility conditions and normal Reasonable Preference Criteria / Banding and Date Order weighting will apply</w:t>
            </w:r>
            <w:r w:rsidR="00BF4797">
              <w:rPr>
                <w:rFonts w:ascii="Calibri" w:hAnsi="Calibri" w:cs="Tahoma"/>
              </w:rPr>
              <w:t>.</w:t>
            </w:r>
          </w:p>
          <w:p w14:paraId="02A6F08A" w14:textId="77777777" w:rsidR="00735C62" w:rsidRPr="008B7F84" w:rsidRDefault="00735C62" w:rsidP="00735C62">
            <w:pPr>
              <w:pStyle w:val="ListParagraph"/>
              <w:numPr>
                <w:ilvl w:val="1"/>
                <w:numId w:val="25"/>
              </w:numPr>
              <w:autoSpaceDE/>
              <w:autoSpaceDN/>
              <w:adjustRightInd/>
              <w:snapToGrid/>
              <w:spacing w:after="0"/>
              <w:ind w:right="6"/>
              <w:contextualSpacing/>
              <w:rPr>
                <w:rFonts w:ascii="Calibri" w:hAnsi="Calibri" w:cs="Tahoma"/>
              </w:rPr>
            </w:pPr>
            <w:r>
              <w:rPr>
                <w:rFonts w:ascii="Calibri" w:hAnsi="Calibri" w:cs="Tahoma"/>
              </w:rPr>
              <w:t>In line with OVH’s own allocation criteria, preference will be given to applicants who can demonstrate full occupancy of the property and those covered by the Local Lettings Policy may be subject to additional checks e.g. supply of suitable references, affordability assessments and where there is evidence of anti-social behaviour - appropriate steps have been taken to alter this type of behaviour</w:t>
            </w:r>
          </w:p>
        </w:tc>
      </w:tr>
      <w:tr w:rsidR="00735C62" w:rsidRPr="009E519E" w14:paraId="2B2291E2" w14:textId="77777777" w:rsidTr="00D3572B">
        <w:trPr>
          <w:trHeight w:val="625"/>
        </w:trPr>
        <w:tc>
          <w:tcPr>
            <w:tcW w:w="9500" w:type="dxa"/>
            <w:gridSpan w:val="6"/>
            <w:tcBorders>
              <w:top w:val="nil"/>
              <w:left w:val="nil"/>
              <w:right w:val="nil"/>
            </w:tcBorders>
            <w:vAlign w:val="center"/>
          </w:tcPr>
          <w:p w14:paraId="501AB1C4" w14:textId="2BECD687" w:rsidR="00735C62" w:rsidRPr="009E519E" w:rsidRDefault="00735C62" w:rsidP="00D3572B">
            <w:pPr>
              <w:ind w:right="6"/>
              <w:rPr>
                <w:rFonts w:ascii="Calibri" w:hAnsi="Calibri" w:cs="Tahoma"/>
                <w:b/>
              </w:rPr>
            </w:pPr>
            <w:r w:rsidRPr="009E519E">
              <w:rPr>
                <w:rFonts w:ascii="Calibri" w:hAnsi="Calibri" w:cs="Tahoma"/>
                <w:b/>
              </w:rPr>
              <w:lastRenderedPageBreak/>
              <w:t xml:space="preserve">Before you start this </w:t>
            </w:r>
            <w:r w:rsidR="00BF4797" w:rsidRPr="009E519E">
              <w:rPr>
                <w:rFonts w:ascii="Calibri" w:hAnsi="Calibri" w:cs="Tahoma"/>
                <w:b/>
              </w:rPr>
              <w:t>assessment,</w:t>
            </w:r>
            <w:r w:rsidRPr="009E519E">
              <w:rPr>
                <w:rFonts w:ascii="Calibri" w:hAnsi="Calibri" w:cs="Tahoma"/>
                <w:b/>
              </w:rPr>
              <w:t xml:space="preserve"> please consider...</w:t>
            </w:r>
          </w:p>
        </w:tc>
      </w:tr>
      <w:tr w:rsidR="00735C62" w:rsidRPr="009E519E" w14:paraId="7990453B" w14:textId="77777777" w:rsidTr="00D3572B">
        <w:tc>
          <w:tcPr>
            <w:tcW w:w="9500" w:type="dxa"/>
            <w:gridSpan w:val="6"/>
            <w:shd w:val="clear" w:color="auto" w:fill="D9D9D9" w:themeFill="background1" w:themeFillShade="D9"/>
            <w:vAlign w:val="center"/>
          </w:tcPr>
          <w:p w14:paraId="6843513B" w14:textId="77777777" w:rsidR="00735C62" w:rsidRPr="009E519E" w:rsidRDefault="00735C62" w:rsidP="00D3572B">
            <w:pPr>
              <w:rPr>
                <w:rFonts w:ascii="Calibri" w:hAnsi="Calibri" w:cs="Tahoma"/>
              </w:rPr>
            </w:pPr>
            <w:r w:rsidRPr="009E519E">
              <w:rPr>
                <w:rFonts w:ascii="Calibri" w:hAnsi="Calibri" w:cs="Tahoma"/>
              </w:rPr>
              <w:t>What are the likely areas where there could be a differential impact?</w:t>
            </w:r>
          </w:p>
        </w:tc>
      </w:tr>
      <w:tr w:rsidR="00735C62" w:rsidRPr="009E519E" w14:paraId="3C5F2C26" w14:textId="77777777" w:rsidTr="00D3572B">
        <w:trPr>
          <w:trHeight w:val="1394"/>
        </w:trPr>
        <w:tc>
          <w:tcPr>
            <w:tcW w:w="9500" w:type="dxa"/>
            <w:gridSpan w:val="6"/>
          </w:tcPr>
          <w:p w14:paraId="2EBCF1DA" w14:textId="77777777" w:rsidR="00735C62" w:rsidRDefault="00735C62" w:rsidP="00735C62">
            <w:pPr>
              <w:pStyle w:val="ListParagraph"/>
              <w:numPr>
                <w:ilvl w:val="0"/>
                <w:numId w:val="26"/>
              </w:numPr>
              <w:autoSpaceDE/>
              <w:autoSpaceDN/>
              <w:adjustRightInd/>
              <w:snapToGrid/>
              <w:spacing w:after="0"/>
              <w:contextualSpacing/>
              <w:rPr>
                <w:rFonts w:ascii="Calibri" w:hAnsi="Calibri" w:cs="Tahoma"/>
              </w:rPr>
            </w:pPr>
            <w:r>
              <w:rPr>
                <w:rFonts w:ascii="Calibri" w:hAnsi="Calibri" w:cs="Tahoma"/>
              </w:rPr>
              <w:t>By its nature, a Local Lettings Policy seeks to introduce additional / alternative lettings criteria than would normally apply to similar property types and tenures.  The proposed Local Letting Policy to be applied to the apartment type accommodation on the Morris Meadows development gives preference, in the first round of bidding, to those who can prove they are economically active (i.e. in employment) or those who are currently in full time education.  The preference for applicants whose housing needs would require a level access bathroom / wet room would apply to all similar properties that have these type of facilities (regardless of economic status)</w:t>
            </w:r>
          </w:p>
          <w:p w14:paraId="21971722" w14:textId="77777777" w:rsidR="00735C62" w:rsidRPr="009D1F18" w:rsidRDefault="00735C62" w:rsidP="00735C62">
            <w:pPr>
              <w:pStyle w:val="ListParagraph"/>
              <w:numPr>
                <w:ilvl w:val="0"/>
                <w:numId w:val="26"/>
              </w:numPr>
              <w:autoSpaceDE/>
              <w:autoSpaceDN/>
              <w:adjustRightInd/>
              <w:snapToGrid/>
              <w:spacing w:after="0"/>
              <w:contextualSpacing/>
              <w:rPr>
                <w:rFonts w:ascii="Calibri" w:hAnsi="Calibri" w:cs="Tahoma"/>
              </w:rPr>
            </w:pPr>
            <w:r>
              <w:rPr>
                <w:rFonts w:ascii="Calibri" w:hAnsi="Calibri" w:cs="Tahoma"/>
              </w:rPr>
              <w:t>The Policy would, therefore, provide a differential outcome for housing applicants that bid on the Morris Meadows apartment block that do not meet the above criteria (specifically those who are not in employment or in full time education)</w:t>
            </w:r>
          </w:p>
        </w:tc>
      </w:tr>
      <w:tr w:rsidR="00735C62" w:rsidRPr="009E519E" w14:paraId="2DE7EB91" w14:textId="77777777" w:rsidTr="00D3572B">
        <w:tc>
          <w:tcPr>
            <w:tcW w:w="9500" w:type="dxa"/>
            <w:gridSpan w:val="6"/>
            <w:shd w:val="clear" w:color="auto" w:fill="D9D9D9" w:themeFill="background1" w:themeFillShade="D9"/>
            <w:vAlign w:val="center"/>
          </w:tcPr>
          <w:p w14:paraId="2A2D7B82" w14:textId="77777777" w:rsidR="00735C62" w:rsidRPr="009E519E" w:rsidRDefault="00735C62" w:rsidP="00D3572B">
            <w:pPr>
              <w:rPr>
                <w:rFonts w:ascii="Calibri" w:hAnsi="Calibri" w:cs="Tahoma"/>
              </w:rPr>
            </w:pPr>
            <w:r w:rsidRPr="009E519E">
              <w:rPr>
                <w:rFonts w:ascii="Calibri" w:hAnsi="Calibri" w:cs="Tahoma"/>
              </w:rPr>
              <w:t xml:space="preserve">Who are the main stakeholders/beneficiaries in terms of the recipients of the </w:t>
            </w:r>
            <w:r>
              <w:rPr>
                <w:rFonts w:ascii="Calibri" w:hAnsi="Calibri" w:cs="Tahoma"/>
              </w:rPr>
              <w:t>Policy</w:t>
            </w:r>
            <w:r w:rsidRPr="009E519E">
              <w:rPr>
                <w:rFonts w:ascii="Calibri" w:hAnsi="Calibri" w:cs="Tahoma"/>
              </w:rPr>
              <w:t>?</w:t>
            </w:r>
          </w:p>
        </w:tc>
      </w:tr>
      <w:tr w:rsidR="00735C62" w:rsidRPr="009E519E" w14:paraId="7BCE8376" w14:textId="77777777" w:rsidTr="00D3572B">
        <w:trPr>
          <w:trHeight w:val="1816"/>
        </w:trPr>
        <w:tc>
          <w:tcPr>
            <w:tcW w:w="9500" w:type="dxa"/>
            <w:gridSpan w:val="6"/>
          </w:tcPr>
          <w:p w14:paraId="3544DC23" w14:textId="77777777" w:rsidR="00735C62" w:rsidRDefault="00735C62" w:rsidP="00735C62">
            <w:pPr>
              <w:pStyle w:val="ListParagraph"/>
              <w:numPr>
                <w:ilvl w:val="0"/>
                <w:numId w:val="26"/>
              </w:numPr>
              <w:autoSpaceDE/>
              <w:autoSpaceDN/>
              <w:adjustRightInd/>
              <w:snapToGrid/>
              <w:spacing w:after="0"/>
              <w:contextualSpacing/>
              <w:rPr>
                <w:rFonts w:ascii="Calibri" w:hAnsi="Calibri" w:cs="Tahoma"/>
              </w:rPr>
            </w:pPr>
            <w:r>
              <w:rPr>
                <w:rFonts w:ascii="Calibri" w:hAnsi="Calibri" w:cs="Tahoma"/>
              </w:rPr>
              <w:t>In introducing and maintaining the Local Lettings Policy, OVH is seeking to create a balanced and sustainable community whilst meeting identified housing need.  If the Policy achieves these outcomes there will benefits for OVH, which would include but are not exhaustive of:</w:t>
            </w:r>
          </w:p>
          <w:p w14:paraId="2DBE08FA" w14:textId="37EEC6D2" w:rsidR="00735C62" w:rsidRDefault="00735C62" w:rsidP="00735C62">
            <w:pPr>
              <w:pStyle w:val="ListParagraph"/>
              <w:numPr>
                <w:ilvl w:val="1"/>
                <w:numId w:val="26"/>
              </w:numPr>
              <w:autoSpaceDE/>
              <w:autoSpaceDN/>
              <w:adjustRightInd/>
              <w:snapToGrid/>
              <w:spacing w:after="0"/>
              <w:contextualSpacing/>
              <w:rPr>
                <w:rFonts w:ascii="Calibri" w:hAnsi="Calibri" w:cs="Tahoma"/>
              </w:rPr>
            </w:pPr>
            <w:r>
              <w:rPr>
                <w:rFonts w:ascii="Calibri" w:hAnsi="Calibri" w:cs="Tahoma"/>
              </w:rPr>
              <w:t>Economic viability by achieving a return on investment from the development through rental income</w:t>
            </w:r>
            <w:r w:rsidR="00BF4797">
              <w:rPr>
                <w:rFonts w:ascii="Calibri" w:hAnsi="Calibri" w:cs="Tahoma"/>
              </w:rPr>
              <w:t>.</w:t>
            </w:r>
          </w:p>
          <w:p w14:paraId="6E6B25A0" w14:textId="77777777" w:rsidR="00735C62" w:rsidRDefault="00735C62" w:rsidP="00735C62">
            <w:pPr>
              <w:pStyle w:val="ListParagraph"/>
              <w:numPr>
                <w:ilvl w:val="1"/>
                <w:numId w:val="26"/>
              </w:numPr>
              <w:autoSpaceDE/>
              <w:autoSpaceDN/>
              <w:adjustRightInd/>
              <w:snapToGrid/>
              <w:spacing w:after="0"/>
              <w:contextualSpacing/>
              <w:rPr>
                <w:rFonts w:ascii="Calibri" w:hAnsi="Calibri" w:cs="Tahoma"/>
              </w:rPr>
            </w:pPr>
            <w:r>
              <w:rPr>
                <w:rFonts w:ascii="Calibri" w:hAnsi="Calibri" w:cs="Tahoma"/>
              </w:rPr>
              <w:t>Maintaining a strong demand for properties and preserving reputation as a fair / accessible landlord of choice</w:t>
            </w:r>
          </w:p>
          <w:p w14:paraId="1F8F5DEB" w14:textId="5E4E2E98" w:rsidR="00735C62" w:rsidRDefault="00735C62" w:rsidP="00735C62">
            <w:pPr>
              <w:pStyle w:val="ListParagraph"/>
              <w:numPr>
                <w:ilvl w:val="1"/>
                <w:numId w:val="26"/>
              </w:numPr>
              <w:autoSpaceDE/>
              <w:autoSpaceDN/>
              <w:adjustRightInd/>
              <w:snapToGrid/>
              <w:spacing w:after="0"/>
              <w:contextualSpacing/>
              <w:rPr>
                <w:rFonts w:ascii="Calibri" w:hAnsi="Calibri" w:cs="Tahoma"/>
              </w:rPr>
            </w:pPr>
            <w:r>
              <w:rPr>
                <w:rFonts w:ascii="Calibri" w:hAnsi="Calibri" w:cs="Tahoma"/>
              </w:rPr>
              <w:t xml:space="preserve">Minimising the need for tenancy intervention measures, achieving value for </w:t>
            </w:r>
            <w:proofErr w:type="gramStart"/>
            <w:r>
              <w:rPr>
                <w:rFonts w:ascii="Calibri" w:hAnsi="Calibri" w:cs="Tahoma"/>
              </w:rPr>
              <w:t>money</w:t>
            </w:r>
            <w:proofErr w:type="gramEnd"/>
            <w:r>
              <w:rPr>
                <w:rFonts w:ascii="Calibri" w:hAnsi="Calibri" w:cs="Tahoma"/>
              </w:rPr>
              <w:t xml:space="preserve"> and allowing staff resources to concentrate time and effort on activities that bring wider community benefit or on customers who have identified support needs</w:t>
            </w:r>
            <w:r w:rsidR="00BF4797">
              <w:rPr>
                <w:rFonts w:ascii="Calibri" w:hAnsi="Calibri" w:cs="Tahoma"/>
              </w:rPr>
              <w:t>.</w:t>
            </w:r>
          </w:p>
          <w:p w14:paraId="5A12BE56" w14:textId="77777777" w:rsidR="00735C62" w:rsidRDefault="00735C62" w:rsidP="00735C62">
            <w:pPr>
              <w:pStyle w:val="ListParagraph"/>
              <w:numPr>
                <w:ilvl w:val="1"/>
                <w:numId w:val="26"/>
              </w:numPr>
              <w:autoSpaceDE/>
              <w:autoSpaceDN/>
              <w:adjustRightInd/>
              <w:snapToGrid/>
              <w:spacing w:after="0"/>
              <w:contextualSpacing/>
              <w:rPr>
                <w:rFonts w:ascii="Calibri" w:hAnsi="Calibri" w:cs="Tahoma"/>
              </w:rPr>
            </w:pPr>
            <w:r>
              <w:rPr>
                <w:rFonts w:ascii="Calibri" w:hAnsi="Calibri" w:cs="Tahoma"/>
              </w:rPr>
              <w:t xml:space="preserve">Protection of assets </w:t>
            </w:r>
          </w:p>
          <w:p w14:paraId="1C1CCB67" w14:textId="785E61EB" w:rsidR="00735C62" w:rsidRDefault="00735C62" w:rsidP="00735C62">
            <w:pPr>
              <w:pStyle w:val="ListParagraph"/>
              <w:numPr>
                <w:ilvl w:val="0"/>
                <w:numId w:val="26"/>
              </w:numPr>
              <w:autoSpaceDE/>
              <w:autoSpaceDN/>
              <w:adjustRightInd/>
              <w:snapToGrid/>
              <w:spacing w:after="0"/>
              <w:contextualSpacing/>
              <w:rPr>
                <w:rFonts w:ascii="Calibri" w:hAnsi="Calibri" w:cs="Tahoma"/>
              </w:rPr>
            </w:pPr>
            <w:r>
              <w:rPr>
                <w:rFonts w:ascii="Calibri" w:hAnsi="Calibri" w:cs="Tahoma"/>
              </w:rPr>
              <w:t>OVH customers (and the wider community) in the vicinity of the scheme would benefit from a well-managed development where the occupants can form roots and take pride in their homes</w:t>
            </w:r>
            <w:r w:rsidR="00BF4797">
              <w:rPr>
                <w:rFonts w:ascii="Calibri" w:hAnsi="Calibri" w:cs="Tahoma"/>
              </w:rPr>
              <w:t>.</w:t>
            </w:r>
          </w:p>
          <w:p w14:paraId="17B3DFF3" w14:textId="57DF795E" w:rsidR="00735C62" w:rsidRDefault="00735C62" w:rsidP="00735C62">
            <w:pPr>
              <w:pStyle w:val="ListParagraph"/>
              <w:numPr>
                <w:ilvl w:val="0"/>
                <w:numId w:val="26"/>
              </w:numPr>
              <w:autoSpaceDE/>
              <w:autoSpaceDN/>
              <w:adjustRightInd/>
              <w:snapToGrid/>
              <w:spacing w:after="0"/>
              <w:contextualSpacing/>
              <w:rPr>
                <w:rFonts w:ascii="Calibri" w:hAnsi="Calibri" w:cs="Tahoma"/>
              </w:rPr>
            </w:pPr>
            <w:r>
              <w:rPr>
                <w:rFonts w:ascii="Calibri" w:hAnsi="Calibri" w:cs="Tahoma"/>
              </w:rPr>
              <w:t>Sefton MBC (and potentially other local authorities in the PPP scheme) benefit by the discharge of the statutory housing duty</w:t>
            </w:r>
            <w:r w:rsidR="00BF4797">
              <w:rPr>
                <w:rFonts w:ascii="Calibri" w:hAnsi="Calibri" w:cs="Tahoma"/>
              </w:rPr>
              <w:t>.</w:t>
            </w:r>
            <w:r>
              <w:rPr>
                <w:rFonts w:ascii="Calibri" w:hAnsi="Calibri" w:cs="Tahoma"/>
              </w:rPr>
              <w:t xml:space="preserve"> </w:t>
            </w:r>
          </w:p>
          <w:p w14:paraId="3D0B7684" w14:textId="77777777" w:rsidR="00735C62" w:rsidRPr="005D7212" w:rsidRDefault="00735C62" w:rsidP="00D3572B">
            <w:pPr>
              <w:rPr>
                <w:rFonts w:ascii="Calibri" w:hAnsi="Calibri" w:cs="Tahoma"/>
              </w:rPr>
            </w:pPr>
          </w:p>
        </w:tc>
      </w:tr>
      <w:tr w:rsidR="00735C62" w:rsidRPr="009E519E" w14:paraId="0EFB8C60" w14:textId="77777777" w:rsidTr="00D3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924"/>
        </w:trPr>
        <w:tc>
          <w:tcPr>
            <w:tcW w:w="6930"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vAlign w:val="center"/>
          </w:tcPr>
          <w:p w14:paraId="3C963A15" w14:textId="77777777" w:rsidR="00735C62" w:rsidRPr="009E519E" w:rsidRDefault="00735C62" w:rsidP="00D3572B">
            <w:pPr>
              <w:pStyle w:val="NormalWeb"/>
              <w:spacing w:before="0" w:beforeAutospacing="0"/>
              <w:textAlignment w:val="baseline"/>
              <w:rPr>
                <w:rFonts w:ascii="Calibri" w:hAnsi="Calibri" w:cs="Arial"/>
              </w:rPr>
            </w:pPr>
            <w:r w:rsidRPr="009E519E">
              <w:rPr>
                <w:rFonts w:ascii="Calibri" w:hAnsi="Calibri" w:cs="Tahoma"/>
                <w:bCs/>
                <w:color w:val="000000"/>
                <w:kern w:val="24"/>
              </w:rPr>
              <w:t>Is there an opportunity to better promote equality of opportunity or better community relations by altering t</w:t>
            </w:r>
            <w:r>
              <w:rPr>
                <w:rFonts w:ascii="Calibri" w:hAnsi="Calibri" w:cs="Tahoma"/>
                <w:bCs/>
                <w:color w:val="000000"/>
                <w:kern w:val="24"/>
              </w:rPr>
              <w:t>he Policy or working with other partners or communities</w:t>
            </w:r>
            <w:r w:rsidRPr="009E519E">
              <w:rPr>
                <w:rFonts w:ascii="Calibri" w:hAnsi="Calibri" w:cs="Tahoma"/>
                <w:bCs/>
                <w:color w:val="000000"/>
                <w:kern w:val="24"/>
              </w:rPr>
              <w:t>?</w:t>
            </w:r>
            <w:r w:rsidRPr="009E519E">
              <w:rPr>
                <w:rFonts w:ascii="Calibri" w:hAnsi="Calibri" w:cs="Tahoma"/>
                <w:color w:val="000000"/>
                <w:kern w:val="24"/>
              </w:rPr>
              <w:t xml:space="preserve"> </w:t>
            </w:r>
          </w:p>
        </w:tc>
        <w:tc>
          <w:tcPr>
            <w:tcW w:w="25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vAlign w:val="center"/>
          </w:tcPr>
          <w:p w14:paraId="6A3F06FA" w14:textId="77777777" w:rsidR="00735C62" w:rsidRPr="009E519E" w:rsidRDefault="00735C62" w:rsidP="00D3572B">
            <w:pPr>
              <w:pStyle w:val="NormalWeb"/>
              <w:spacing w:before="0" w:beforeAutospacing="0"/>
              <w:ind w:left="547" w:hanging="547"/>
              <w:jc w:val="center"/>
              <w:textAlignment w:val="baseline"/>
              <w:rPr>
                <w:rFonts w:ascii="Calibri" w:hAnsi="Calibri" w:cs="Arial"/>
              </w:rPr>
            </w:pPr>
            <w:r>
              <w:rPr>
                <w:rFonts w:ascii="Calibri" w:hAnsi="Calibri" w:cs="Arial"/>
              </w:rPr>
              <w:t xml:space="preserve">Yes </w:t>
            </w:r>
          </w:p>
        </w:tc>
      </w:tr>
      <w:tr w:rsidR="00735C62" w:rsidRPr="009E519E" w14:paraId="673A768E" w14:textId="77777777" w:rsidTr="00D3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587"/>
        </w:trPr>
        <w:tc>
          <w:tcPr>
            <w:tcW w:w="950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344F366" w14:textId="77777777" w:rsidR="00735C62" w:rsidRPr="009E519E" w:rsidRDefault="00735C62" w:rsidP="00735C62">
            <w:pPr>
              <w:pStyle w:val="NormalWeb"/>
              <w:numPr>
                <w:ilvl w:val="0"/>
                <w:numId w:val="27"/>
              </w:numPr>
              <w:kinsoku w:val="0"/>
              <w:overflowPunct w:val="0"/>
              <w:spacing w:before="0" w:beforeAutospacing="0"/>
              <w:textAlignment w:val="baseline"/>
              <w:rPr>
                <w:rFonts w:ascii="Calibri" w:hAnsi="Calibri" w:cs="Arial"/>
              </w:rPr>
            </w:pPr>
            <w:r>
              <w:rPr>
                <w:rFonts w:ascii="Calibri" w:hAnsi="Calibri" w:cs="Arial"/>
              </w:rPr>
              <w:lastRenderedPageBreak/>
              <w:t xml:space="preserve">There is always </w:t>
            </w:r>
            <w:proofErr w:type="gramStart"/>
            <w:r>
              <w:rPr>
                <w:rFonts w:ascii="Calibri" w:hAnsi="Calibri" w:cs="Arial"/>
              </w:rPr>
              <w:t>benefit</w:t>
            </w:r>
            <w:proofErr w:type="gramEnd"/>
            <w:r>
              <w:rPr>
                <w:rFonts w:ascii="Calibri" w:hAnsi="Calibri" w:cs="Arial"/>
              </w:rPr>
              <w:t xml:space="preserve"> to be gained through a joined-up partnership approach, however, there are not thought to be any specific partnership arrangements that would need to be put in place to ensure the effective operation of the Policy initiative.  As part of a general approach to allocations i.e. applicable to all properties available to rent and across all tenures, OVH has revised its procedures to ensure the data capture of customers individual needs has improved.  This applies at the commencement of tenancy agreements and throughout and will involve provision of direct support or referral to third part agencies, as required.  The relationships with these partner agencies are well established and are considered to work effectively.</w:t>
            </w:r>
          </w:p>
        </w:tc>
      </w:tr>
      <w:tr w:rsidR="00735C62" w:rsidRPr="009E519E" w14:paraId="4A36AA32" w14:textId="77777777" w:rsidTr="00D3572B">
        <w:trPr>
          <w:trHeight w:val="647"/>
        </w:trPr>
        <w:tc>
          <w:tcPr>
            <w:tcW w:w="9500" w:type="dxa"/>
            <w:gridSpan w:val="6"/>
            <w:shd w:val="clear" w:color="auto" w:fill="D9D9D9" w:themeFill="background1" w:themeFillShade="D9"/>
            <w:vAlign w:val="center"/>
          </w:tcPr>
          <w:p w14:paraId="48E31202" w14:textId="77777777" w:rsidR="00735C62" w:rsidRPr="009E519E" w:rsidRDefault="00735C62" w:rsidP="00D3572B">
            <w:pPr>
              <w:ind w:right="6"/>
              <w:rPr>
                <w:rFonts w:ascii="Calibri" w:hAnsi="Calibri" w:cs="Tahoma"/>
                <w:b/>
              </w:rPr>
            </w:pPr>
            <w:r w:rsidRPr="009E519E">
              <w:rPr>
                <w:rFonts w:ascii="Calibri" w:hAnsi="Calibri" w:cs="Tahoma"/>
                <w:b/>
                <w:bCs/>
              </w:rPr>
              <w:t>What, if any, differential impact could there be due to…</w:t>
            </w:r>
          </w:p>
        </w:tc>
      </w:tr>
      <w:tr w:rsidR="00735C62" w:rsidRPr="009E519E" w14:paraId="69870DC7" w14:textId="77777777" w:rsidTr="00D3572B">
        <w:tc>
          <w:tcPr>
            <w:tcW w:w="2557" w:type="dxa"/>
            <w:vAlign w:val="center"/>
          </w:tcPr>
          <w:p w14:paraId="2E2C2757" w14:textId="77777777" w:rsidR="00735C62" w:rsidRPr="009E519E" w:rsidRDefault="00735C62" w:rsidP="00D3572B">
            <w:pPr>
              <w:ind w:right="6"/>
              <w:rPr>
                <w:rFonts w:ascii="Calibri" w:hAnsi="Calibri" w:cs="Tahoma"/>
                <w:b/>
              </w:rPr>
            </w:pPr>
          </w:p>
        </w:tc>
        <w:tc>
          <w:tcPr>
            <w:tcW w:w="1415" w:type="dxa"/>
            <w:vAlign w:val="center"/>
          </w:tcPr>
          <w:p w14:paraId="6EEE1303" w14:textId="77777777" w:rsidR="00735C62" w:rsidRPr="009E519E" w:rsidRDefault="00735C62" w:rsidP="00D3572B">
            <w:pPr>
              <w:ind w:right="6"/>
              <w:jc w:val="center"/>
              <w:rPr>
                <w:rFonts w:ascii="Calibri" w:hAnsi="Calibri" w:cs="Tahoma"/>
              </w:rPr>
            </w:pPr>
            <w:r w:rsidRPr="009E519E">
              <w:rPr>
                <w:rFonts w:ascii="Calibri" w:hAnsi="Calibri" w:cs="Tahoma"/>
              </w:rPr>
              <w:t>Positive impact</w:t>
            </w:r>
          </w:p>
        </w:tc>
        <w:tc>
          <w:tcPr>
            <w:tcW w:w="1417" w:type="dxa"/>
            <w:vAlign w:val="center"/>
          </w:tcPr>
          <w:p w14:paraId="3E5C5533" w14:textId="77777777" w:rsidR="00735C62" w:rsidRPr="009E519E" w:rsidRDefault="00735C62" w:rsidP="00D3572B">
            <w:pPr>
              <w:ind w:right="6"/>
              <w:jc w:val="center"/>
              <w:rPr>
                <w:rFonts w:ascii="Calibri" w:hAnsi="Calibri" w:cs="Tahoma"/>
              </w:rPr>
            </w:pPr>
            <w:r w:rsidRPr="009E519E">
              <w:rPr>
                <w:rFonts w:ascii="Calibri" w:hAnsi="Calibri" w:cs="Tahoma"/>
              </w:rPr>
              <w:t>Neutral</w:t>
            </w:r>
          </w:p>
          <w:p w14:paraId="773D49C9" w14:textId="77777777" w:rsidR="00735C62" w:rsidRPr="009E519E" w:rsidRDefault="00735C62" w:rsidP="00D3572B">
            <w:pPr>
              <w:ind w:right="6"/>
              <w:jc w:val="center"/>
              <w:rPr>
                <w:rFonts w:ascii="Calibri" w:hAnsi="Calibri" w:cs="Tahoma"/>
              </w:rPr>
            </w:pPr>
            <w:r w:rsidRPr="009E519E">
              <w:rPr>
                <w:rFonts w:ascii="Calibri" w:hAnsi="Calibri" w:cs="Tahoma"/>
              </w:rPr>
              <w:t>impact</w:t>
            </w:r>
          </w:p>
        </w:tc>
        <w:tc>
          <w:tcPr>
            <w:tcW w:w="1418" w:type="dxa"/>
            <w:vAlign w:val="center"/>
          </w:tcPr>
          <w:p w14:paraId="05449012" w14:textId="77777777" w:rsidR="00735C62" w:rsidRPr="009E519E" w:rsidRDefault="00735C62" w:rsidP="00D3572B">
            <w:pPr>
              <w:ind w:right="6"/>
              <w:jc w:val="center"/>
              <w:rPr>
                <w:rFonts w:ascii="Calibri" w:hAnsi="Calibri" w:cs="Tahoma"/>
              </w:rPr>
            </w:pPr>
            <w:r w:rsidRPr="009E519E">
              <w:rPr>
                <w:rFonts w:ascii="Calibri" w:hAnsi="Calibri" w:cs="Tahoma"/>
              </w:rPr>
              <w:t>Negative impact</w:t>
            </w:r>
          </w:p>
        </w:tc>
        <w:tc>
          <w:tcPr>
            <w:tcW w:w="2693" w:type="dxa"/>
            <w:gridSpan w:val="2"/>
            <w:vAlign w:val="center"/>
          </w:tcPr>
          <w:p w14:paraId="3257B352" w14:textId="77777777" w:rsidR="00735C62" w:rsidRPr="009E519E" w:rsidRDefault="00735C62" w:rsidP="00D3572B">
            <w:pPr>
              <w:ind w:right="6"/>
              <w:rPr>
                <w:rFonts w:ascii="Calibri" w:hAnsi="Calibri" w:cs="Tahoma"/>
              </w:rPr>
            </w:pPr>
            <w:r w:rsidRPr="009E519E">
              <w:rPr>
                <w:rFonts w:ascii="Calibri" w:hAnsi="Calibri" w:cs="Tahoma"/>
              </w:rPr>
              <w:t>Reason</w:t>
            </w:r>
          </w:p>
        </w:tc>
      </w:tr>
      <w:tr w:rsidR="00735C62" w:rsidRPr="009E519E" w14:paraId="24190694" w14:textId="77777777" w:rsidTr="00D3572B">
        <w:trPr>
          <w:trHeight w:val="611"/>
        </w:trPr>
        <w:tc>
          <w:tcPr>
            <w:tcW w:w="2557" w:type="dxa"/>
            <w:vAlign w:val="center"/>
          </w:tcPr>
          <w:p w14:paraId="7D2885F2" w14:textId="77777777" w:rsidR="00735C62" w:rsidRPr="009E519E" w:rsidRDefault="00735C62" w:rsidP="00D3572B">
            <w:pPr>
              <w:ind w:right="6"/>
              <w:rPr>
                <w:rFonts w:ascii="Calibri" w:hAnsi="Calibri" w:cs="Tahoma"/>
                <w:b/>
              </w:rPr>
            </w:pPr>
            <w:r w:rsidRPr="009E519E">
              <w:rPr>
                <w:rFonts w:ascii="Calibri" w:hAnsi="Calibri" w:cs="Tahoma"/>
                <w:b/>
                <w:bCs/>
              </w:rPr>
              <w:t>Age</w:t>
            </w:r>
          </w:p>
        </w:tc>
        <w:tc>
          <w:tcPr>
            <w:tcW w:w="1415" w:type="dxa"/>
            <w:vAlign w:val="center"/>
          </w:tcPr>
          <w:p w14:paraId="16A7A262" w14:textId="77777777" w:rsidR="00735C62" w:rsidRPr="009E519E" w:rsidRDefault="00735C62" w:rsidP="00D3572B">
            <w:pPr>
              <w:ind w:right="6"/>
              <w:jc w:val="center"/>
              <w:rPr>
                <w:rFonts w:ascii="Calibri" w:hAnsi="Calibri" w:cs="Tahoma"/>
              </w:rPr>
            </w:pPr>
          </w:p>
        </w:tc>
        <w:tc>
          <w:tcPr>
            <w:tcW w:w="1417" w:type="dxa"/>
            <w:vAlign w:val="center"/>
          </w:tcPr>
          <w:p w14:paraId="380D3AAE" w14:textId="77777777" w:rsidR="00735C62" w:rsidRPr="009E519E" w:rsidRDefault="00735C62" w:rsidP="00D3572B">
            <w:pPr>
              <w:ind w:right="6"/>
              <w:jc w:val="center"/>
              <w:rPr>
                <w:rFonts w:ascii="Calibri" w:hAnsi="Calibri" w:cs="Tahoma"/>
              </w:rPr>
            </w:pPr>
            <w:r>
              <w:rPr>
                <w:rFonts w:ascii="Calibri" w:hAnsi="Calibri" w:cs="Tahoma"/>
              </w:rPr>
              <w:sym w:font="Wingdings" w:char="F0FC"/>
            </w:r>
          </w:p>
        </w:tc>
        <w:tc>
          <w:tcPr>
            <w:tcW w:w="1418" w:type="dxa"/>
            <w:vAlign w:val="center"/>
          </w:tcPr>
          <w:p w14:paraId="6E90FE13" w14:textId="77777777" w:rsidR="00735C62" w:rsidRPr="009E519E" w:rsidRDefault="00735C62" w:rsidP="00D3572B">
            <w:pPr>
              <w:ind w:right="6"/>
              <w:jc w:val="center"/>
              <w:rPr>
                <w:rFonts w:ascii="Calibri" w:hAnsi="Calibri" w:cs="Tahoma"/>
              </w:rPr>
            </w:pPr>
          </w:p>
        </w:tc>
        <w:tc>
          <w:tcPr>
            <w:tcW w:w="2693" w:type="dxa"/>
            <w:gridSpan w:val="2"/>
          </w:tcPr>
          <w:p w14:paraId="4B700913" w14:textId="77777777" w:rsidR="00735C62" w:rsidRPr="00103898" w:rsidRDefault="00735C62" w:rsidP="00D3572B">
            <w:pPr>
              <w:ind w:right="6"/>
              <w:rPr>
                <w:rFonts w:ascii="Calibri" w:hAnsi="Calibri" w:cs="Tahoma"/>
              </w:rPr>
            </w:pPr>
            <w:r>
              <w:rPr>
                <w:rFonts w:ascii="Calibri" w:hAnsi="Calibri" w:cs="Tahoma"/>
              </w:rPr>
              <w:t>Other than the usual age restrictions that would apply to the granting of tenancy agreements (to those over 18 only unless on licence) the impacts of the Policy are thought to be neutral in this category.  There is slight risk that the Policy may limit opportunity for those whose working time is over i.e. they have retired and / or of pensionable age but the numbers are contained enough for this risk to be negligible</w:t>
            </w:r>
          </w:p>
        </w:tc>
      </w:tr>
      <w:tr w:rsidR="00735C62" w:rsidRPr="009E519E" w14:paraId="3CE2F2A0" w14:textId="77777777" w:rsidTr="00D3572B">
        <w:trPr>
          <w:trHeight w:val="611"/>
        </w:trPr>
        <w:tc>
          <w:tcPr>
            <w:tcW w:w="2557" w:type="dxa"/>
            <w:vAlign w:val="center"/>
          </w:tcPr>
          <w:p w14:paraId="6F1E2C16" w14:textId="77777777" w:rsidR="00735C62" w:rsidRPr="009E519E" w:rsidRDefault="00735C62" w:rsidP="00D3572B">
            <w:pPr>
              <w:ind w:right="6"/>
              <w:rPr>
                <w:rFonts w:ascii="Calibri" w:hAnsi="Calibri" w:cs="Tahoma"/>
                <w:b/>
              </w:rPr>
            </w:pPr>
            <w:r w:rsidRPr="009E519E">
              <w:rPr>
                <w:rFonts w:ascii="Calibri" w:hAnsi="Calibri" w:cs="Tahoma"/>
                <w:b/>
              </w:rPr>
              <w:t xml:space="preserve">Disability </w:t>
            </w:r>
          </w:p>
        </w:tc>
        <w:tc>
          <w:tcPr>
            <w:tcW w:w="1415" w:type="dxa"/>
            <w:vAlign w:val="center"/>
          </w:tcPr>
          <w:p w14:paraId="738E3D67" w14:textId="77777777" w:rsidR="00735C62" w:rsidRPr="009E519E" w:rsidRDefault="00735C62" w:rsidP="00D3572B">
            <w:pPr>
              <w:ind w:right="6"/>
              <w:jc w:val="center"/>
              <w:rPr>
                <w:rFonts w:ascii="Calibri" w:hAnsi="Calibri" w:cs="Tahoma"/>
              </w:rPr>
            </w:pPr>
            <w:r>
              <w:rPr>
                <w:rFonts w:ascii="Calibri" w:hAnsi="Calibri" w:cs="Tahoma"/>
              </w:rPr>
              <w:sym w:font="Wingdings" w:char="F0FC"/>
            </w:r>
          </w:p>
        </w:tc>
        <w:tc>
          <w:tcPr>
            <w:tcW w:w="1417" w:type="dxa"/>
            <w:vAlign w:val="center"/>
          </w:tcPr>
          <w:p w14:paraId="32D68A89" w14:textId="77777777" w:rsidR="00735C62" w:rsidRPr="009E519E" w:rsidRDefault="00735C62" w:rsidP="00D3572B">
            <w:pPr>
              <w:ind w:right="6"/>
              <w:jc w:val="center"/>
              <w:rPr>
                <w:rFonts w:ascii="Calibri" w:hAnsi="Calibri" w:cs="Tahoma"/>
              </w:rPr>
            </w:pPr>
          </w:p>
        </w:tc>
        <w:tc>
          <w:tcPr>
            <w:tcW w:w="1418" w:type="dxa"/>
            <w:vAlign w:val="center"/>
          </w:tcPr>
          <w:p w14:paraId="6B8D75D2" w14:textId="77777777" w:rsidR="00735C62" w:rsidRPr="009E519E" w:rsidRDefault="00735C62" w:rsidP="00D3572B">
            <w:pPr>
              <w:ind w:right="6"/>
              <w:jc w:val="center"/>
              <w:rPr>
                <w:rFonts w:ascii="Calibri" w:hAnsi="Calibri" w:cs="Tahoma"/>
              </w:rPr>
            </w:pPr>
          </w:p>
        </w:tc>
        <w:tc>
          <w:tcPr>
            <w:tcW w:w="2693" w:type="dxa"/>
            <w:gridSpan w:val="2"/>
          </w:tcPr>
          <w:p w14:paraId="2CEDE124" w14:textId="77777777" w:rsidR="00735C62" w:rsidRPr="009E519E" w:rsidRDefault="00735C62" w:rsidP="00D3572B">
            <w:pPr>
              <w:ind w:right="6"/>
              <w:rPr>
                <w:rFonts w:ascii="Calibri" w:hAnsi="Calibri" w:cs="Tahoma"/>
              </w:rPr>
            </w:pPr>
            <w:r>
              <w:rPr>
                <w:rFonts w:ascii="Calibri" w:hAnsi="Calibri" w:cs="Tahoma"/>
              </w:rPr>
              <w:t xml:space="preserve">The preference that will be given to customers whose health conditions would benefit from level access / wet room facilities </w:t>
            </w:r>
            <w:proofErr w:type="gramStart"/>
            <w:r>
              <w:rPr>
                <w:rFonts w:ascii="Calibri" w:hAnsi="Calibri" w:cs="Tahoma"/>
              </w:rPr>
              <w:t>is considered to be</w:t>
            </w:r>
            <w:proofErr w:type="gramEnd"/>
            <w:r>
              <w:rPr>
                <w:rFonts w:ascii="Calibri" w:hAnsi="Calibri" w:cs="Tahoma"/>
              </w:rPr>
              <w:t xml:space="preserve"> a positive impact </w:t>
            </w:r>
          </w:p>
        </w:tc>
      </w:tr>
      <w:tr w:rsidR="00735C62" w:rsidRPr="009E519E" w14:paraId="11B67F32" w14:textId="77777777" w:rsidTr="00D3572B">
        <w:trPr>
          <w:trHeight w:val="562"/>
        </w:trPr>
        <w:tc>
          <w:tcPr>
            <w:tcW w:w="2557" w:type="dxa"/>
            <w:vAlign w:val="center"/>
          </w:tcPr>
          <w:p w14:paraId="6982C814" w14:textId="77777777" w:rsidR="00735C62" w:rsidRPr="009E519E" w:rsidRDefault="00735C62" w:rsidP="00D3572B">
            <w:pPr>
              <w:ind w:right="6"/>
              <w:rPr>
                <w:rFonts w:ascii="Calibri" w:hAnsi="Calibri" w:cs="Tahoma"/>
                <w:b/>
              </w:rPr>
            </w:pPr>
            <w:r w:rsidRPr="009E519E">
              <w:rPr>
                <w:rFonts w:ascii="Calibri" w:hAnsi="Calibri" w:cs="Tahoma"/>
                <w:b/>
              </w:rPr>
              <w:t>Gender</w:t>
            </w:r>
          </w:p>
        </w:tc>
        <w:tc>
          <w:tcPr>
            <w:tcW w:w="1415" w:type="dxa"/>
            <w:vAlign w:val="center"/>
          </w:tcPr>
          <w:p w14:paraId="59428CF1" w14:textId="77777777" w:rsidR="00735C62" w:rsidRPr="009E519E" w:rsidRDefault="00735C62" w:rsidP="00D3572B">
            <w:pPr>
              <w:ind w:right="6"/>
              <w:jc w:val="center"/>
              <w:rPr>
                <w:rFonts w:ascii="Calibri" w:hAnsi="Calibri" w:cs="Tahoma"/>
              </w:rPr>
            </w:pPr>
          </w:p>
        </w:tc>
        <w:tc>
          <w:tcPr>
            <w:tcW w:w="1417" w:type="dxa"/>
            <w:vAlign w:val="center"/>
          </w:tcPr>
          <w:p w14:paraId="6925E60B" w14:textId="77777777" w:rsidR="00735C62" w:rsidRPr="009E519E" w:rsidRDefault="00735C62" w:rsidP="00D3572B">
            <w:pPr>
              <w:ind w:right="6"/>
              <w:jc w:val="center"/>
              <w:rPr>
                <w:rFonts w:ascii="Calibri" w:hAnsi="Calibri" w:cs="Tahoma"/>
              </w:rPr>
            </w:pPr>
            <w:r>
              <w:rPr>
                <w:rFonts w:ascii="Calibri" w:hAnsi="Calibri" w:cs="Tahoma"/>
              </w:rPr>
              <w:sym w:font="Wingdings" w:char="F0FC"/>
            </w:r>
          </w:p>
        </w:tc>
        <w:tc>
          <w:tcPr>
            <w:tcW w:w="1418" w:type="dxa"/>
            <w:vAlign w:val="center"/>
          </w:tcPr>
          <w:p w14:paraId="6DF734CC" w14:textId="77777777" w:rsidR="00735C62" w:rsidRPr="009E519E" w:rsidRDefault="00735C62" w:rsidP="00D3572B">
            <w:pPr>
              <w:ind w:right="6"/>
              <w:jc w:val="center"/>
              <w:rPr>
                <w:rFonts w:ascii="Calibri" w:hAnsi="Calibri" w:cs="Tahoma"/>
              </w:rPr>
            </w:pPr>
          </w:p>
        </w:tc>
        <w:tc>
          <w:tcPr>
            <w:tcW w:w="2693" w:type="dxa"/>
            <w:gridSpan w:val="2"/>
          </w:tcPr>
          <w:p w14:paraId="3FB1592A" w14:textId="77777777" w:rsidR="00735C62" w:rsidRPr="009E519E" w:rsidRDefault="00735C62" w:rsidP="00D3572B">
            <w:pPr>
              <w:ind w:right="6"/>
              <w:rPr>
                <w:rFonts w:ascii="Calibri" w:hAnsi="Calibri" w:cs="Tahoma"/>
              </w:rPr>
            </w:pPr>
            <w:r>
              <w:rPr>
                <w:rFonts w:ascii="Calibri" w:hAnsi="Calibri" w:cs="Tahoma"/>
              </w:rPr>
              <w:t xml:space="preserve">The impacts in this area are neutral i.e. a customer’s gender would not form part of the </w:t>
            </w:r>
            <w:proofErr w:type="gramStart"/>
            <w:r>
              <w:rPr>
                <w:rFonts w:ascii="Calibri" w:hAnsi="Calibri" w:cs="Tahoma"/>
              </w:rPr>
              <w:t>decision making</w:t>
            </w:r>
            <w:proofErr w:type="gramEnd"/>
            <w:r>
              <w:rPr>
                <w:rFonts w:ascii="Calibri" w:hAnsi="Calibri" w:cs="Tahoma"/>
              </w:rPr>
              <w:t xml:space="preserve"> process in allocating the </w:t>
            </w:r>
            <w:r>
              <w:rPr>
                <w:rFonts w:ascii="Calibri" w:hAnsi="Calibri" w:cs="Tahoma"/>
              </w:rPr>
              <w:lastRenderedPageBreak/>
              <w:t>properties to be included in scope of the Policy</w:t>
            </w:r>
          </w:p>
        </w:tc>
      </w:tr>
      <w:tr w:rsidR="00735C62" w:rsidRPr="009E519E" w14:paraId="365C2F23" w14:textId="77777777" w:rsidTr="00D3572B">
        <w:trPr>
          <w:trHeight w:val="543"/>
        </w:trPr>
        <w:tc>
          <w:tcPr>
            <w:tcW w:w="2557" w:type="dxa"/>
            <w:vAlign w:val="center"/>
          </w:tcPr>
          <w:p w14:paraId="213A59F6" w14:textId="77777777" w:rsidR="00735C62" w:rsidRPr="009E519E" w:rsidRDefault="00735C62" w:rsidP="00D3572B">
            <w:pPr>
              <w:ind w:right="6"/>
              <w:rPr>
                <w:rFonts w:ascii="Calibri" w:hAnsi="Calibri" w:cs="Tahoma"/>
                <w:b/>
              </w:rPr>
            </w:pPr>
            <w:r w:rsidRPr="009E519E">
              <w:rPr>
                <w:rFonts w:ascii="Calibri" w:hAnsi="Calibri" w:cs="Tahoma"/>
                <w:b/>
              </w:rPr>
              <w:lastRenderedPageBreak/>
              <w:t>Race</w:t>
            </w:r>
          </w:p>
        </w:tc>
        <w:tc>
          <w:tcPr>
            <w:tcW w:w="1415" w:type="dxa"/>
            <w:vAlign w:val="center"/>
          </w:tcPr>
          <w:p w14:paraId="569A0011" w14:textId="77777777" w:rsidR="00735C62" w:rsidRPr="009E519E" w:rsidRDefault="00735C62" w:rsidP="00D3572B">
            <w:pPr>
              <w:ind w:right="6"/>
              <w:jc w:val="center"/>
              <w:rPr>
                <w:rFonts w:ascii="Calibri" w:hAnsi="Calibri" w:cs="Tahoma"/>
              </w:rPr>
            </w:pPr>
          </w:p>
        </w:tc>
        <w:tc>
          <w:tcPr>
            <w:tcW w:w="1417" w:type="dxa"/>
            <w:vAlign w:val="center"/>
          </w:tcPr>
          <w:p w14:paraId="6D0173E0" w14:textId="77777777" w:rsidR="00735C62" w:rsidRPr="009E519E" w:rsidRDefault="00735C62" w:rsidP="00D3572B">
            <w:pPr>
              <w:ind w:right="6"/>
              <w:jc w:val="center"/>
              <w:rPr>
                <w:rFonts w:ascii="Calibri" w:hAnsi="Calibri" w:cs="Tahoma"/>
              </w:rPr>
            </w:pPr>
            <w:r>
              <w:rPr>
                <w:rFonts w:ascii="Calibri" w:hAnsi="Calibri" w:cs="Tahoma"/>
              </w:rPr>
              <w:sym w:font="Wingdings" w:char="F0FC"/>
            </w:r>
          </w:p>
        </w:tc>
        <w:tc>
          <w:tcPr>
            <w:tcW w:w="1418" w:type="dxa"/>
            <w:vAlign w:val="center"/>
          </w:tcPr>
          <w:p w14:paraId="6BC74133" w14:textId="77777777" w:rsidR="00735C62" w:rsidRPr="009E519E" w:rsidRDefault="00735C62" w:rsidP="00D3572B">
            <w:pPr>
              <w:ind w:right="6"/>
              <w:jc w:val="center"/>
              <w:rPr>
                <w:rFonts w:ascii="Calibri" w:hAnsi="Calibri" w:cs="Tahoma"/>
              </w:rPr>
            </w:pPr>
          </w:p>
        </w:tc>
        <w:tc>
          <w:tcPr>
            <w:tcW w:w="2693" w:type="dxa"/>
            <w:gridSpan w:val="2"/>
          </w:tcPr>
          <w:p w14:paraId="561D1FDC" w14:textId="77777777" w:rsidR="00735C62" w:rsidRPr="009E519E" w:rsidRDefault="00735C62" w:rsidP="00D3572B">
            <w:pPr>
              <w:ind w:right="6"/>
              <w:rPr>
                <w:rFonts w:ascii="Calibri" w:hAnsi="Calibri" w:cs="Tahoma"/>
              </w:rPr>
            </w:pPr>
            <w:r>
              <w:rPr>
                <w:rFonts w:ascii="Calibri" w:hAnsi="Calibri" w:cs="Tahoma"/>
              </w:rPr>
              <w:t>As above - age have no bearing on decision making process</w:t>
            </w:r>
          </w:p>
        </w:tc>
      </w:tr>
      <w:tr w:rsidR="00735C62" w:rsidRPr="009E519E" w14:paraId="3586B5CF" w14:textId="77777777" w:rsidTr="00D3572B">
        <w:trPr>
          <w:trHeight w:val="565"/>
        </w:trPr>
        <w:tc>
          <w:tcPr>
            <w:tcW w:w="2557" w:type="dxa"/>
            <w:vAlign w:val="center"/>
          </w:tcPr>
          <w:p w14:paraId="098920FE" w14:textId="77777777" w:rsidR="00735C62" w:rsidRPr="009E519E" w:rsidRDefault="00735C62" w:rsidP="00D3572B">
            <w:pPr>
              <w:ind w:right="6"/>
              <w:rPr>
                <w:rFonts w:ascii="Calibri" w:hAnsi="Calibri" w:cs="Tahoma"/>
                <w:b/>
              </w:rPr>
            </w:pPr>
            <w:r w:rsidRPr="009E519E">
              <w:rPr>
                <w:rFonts w:ascii="Calibri" w:hAnsi="Calibri" w:cs="Tahoma"/>
                <w:b/>
              </w:rPr>
              <w:t xml:space="preserve">Religion </w:t>
            </w:r>
          </w:p>
        </w:tc>
        <w:tc>
          <w:tcPr>
            <w:tcW w:w="1415" w:type="dxa"/>
            <w:vAlign w:val="center"/>
          </w:tcPr>
          <w:p w14:paraId="6CC36A7E" w14:textId="77777777" w:rsidR="00735C62" w:rsidRPr="009E519E" w:rsidRDefault="00735C62" w:rsidP="00D3572B">
            <w:pPr>
              <w:ind w:right="6"/>
              <w:jc w:val="center"/>
              <w:rPr>
                <w:rFonts w:ascii="Calibri" w:hAnsi="Calibri" w:cs="Tahoma"/>
              </w:rPr>
            </w:pPr>
          </w:p>
        </w:tc>
        <w:tc>
          <w:tcPr>
            <w:tcW w:w="1417" w:type="dxa"/>
            <w:vAlign w:val="center"/>
          </w:tcPr>
          <w:p w14:paraId="1FD942C9" w14:textId="77777777" w:rsidR="00735C62" w:rsidRPr="009E519E" w:rsidRDefault="00735C62" w:rsidP="00D3572B">
            <w:pPr>
              <w:ind w:right="6"/>
              <w:jc w:val="center"/>
              <w:rPr>
                <w:rFonts w:ascii="Calibri" w:hAnsi="Calibri" w:cs="Tahoma"/>
              </w:rPr>
            </w:pPr>
            <w:r>
              <w:rPr>
                <w:rFonts w:ascii="Calibri" w:hAnsi="Calibri" w:cs="Tahoma"/>
              </w:rPr>
              <w:sym w:font="Wingdings" w:char="F0FC"/>
            </w:r>
          </w:p>
        </w:tc>
        <w:tc>
          <w:tcPr>
            <w:tcW w:w="1418" w:type="dxa"/>
            <w:vAlign w:val="center"/>
          </w:tcPr>
          <w:p w14:paraId="6CE3D8C8" w14:textId="77777777" w:rsidR="00735C62" w:rsidRPr="009E519E" w:rsidRDefault="00735C62" w:rsidP="00D3572B">
            <w:pPr>
              <w:ind w:right="6"/>
              <w:jc w:val="center"/>
              <w:rPr>
                <w:rFonts w:ascii="Calibri" w:hAnsi="Calibri" w:cs="Tahoma"/>
              </w:rPr>
            </w:pPr>
          </w:p>
        </w:tc>
        <w:tc>
          <w:tcPr>
            <w:tcW w:w="2693" w:type="dxa"/>
            <w:gridSpan w:val="2"/>
          </w:tcPr>
          <w:p w14:paraId="7C006099" w14:textId="77777777" w:rsidR="00735C62" w:rsidRPr="009E519E" w:rsidRDefault="00735C62" w:rsidP="00D3572B">
            <w:pPr>
              <w:ind w:right="6"/>
              <w:rPr>
                <w:rFonts w:ascii="Calibri" w:hAnsi="Calibri" w:cs="Tahoma"/>
              </w:rPr>
            </w:pPr>
            <w:r>
              <w:rPr>
                <w:rFonts w:ascii="Calibri" w:hAnsi="Calibri" w:cs="Tahoma"/>
              </w:rPr>
              <w:t>As above, would have no bearing on decision making process</w:t>
            </w:r>
          </w:p>
        </w:tc>
      </w:tr>
      <w:tr w:rsidR="00735C62" w:rsidRPr="009E519E" w14:paraId="72CCBE8A" w14:textId="77777777" w:rsidTr="00D3572B">
        <w:trPr>
          <w:trHeight w:val="559"/>
        </w:trPr>
        <w:tc>
          <w:tcPr>
            <w:tcW w:w="2557" w:type="dxa"/>
            <w:tcBorders>
              <w:bottom w:val="single" w:sz="4" w:space="0" w:color="auto"/>
            </w:tcBorders>
            <w:vAlign w:val="center"/>
          </w:tcPr>
          <w:p w14:paraId="0BF99327" w14:textId="77777777" w:rsidR="00735C62" w:rsidRPr="009E519E" w:rsidRDefault="00735C62" w:rsidP="00D3572B">
            <w:pPr>
              <w:ind w:right="6"/>
              <w:rPr>
                <w:rFonts w:ascii="Calibri" w:hAnsi="Calibri" w:cs="Tahoma"/>
                <w:b/>
              </w:rPr>
            </w:pPr>
            <w:r w:rsidRPr="009E519E">
              <w:rPr>
                <w:rFonts w:ascii="Calibri" w:hAnsi="Calibri" w:cs="Tahoma"/>
                <w:b/>
              </w:rPr>
              <w:t xml:space="preserve">Sexual Orientation </w:t>
            </w:r>
          </w:p>
        </w:tc>
        <w:tc>
          <w:tcPr>
            <w:tcW w:w="1415" w:type="dxa"/>
            <w:tcBorders>
              <w:bottom w:val="single" w:sz="4" w:space="0" w:color="auto"/>
            </w:tcBorders>
            <w:vAlign w:val="center"/>
          </w:tcPr>
          <w:p w14:paraId="008F078E" w14:textId="77777777" w:rsidR="00735C62" w:rsidRPr="009E519E" w:rsidRDefault="00735C62" w:rsidP="00D3572B">
            <w:pPr>
              <w:ind w:right="6"/>
              <w:jc w:val="center"/>
              <w:rPr>
                <w:rFonts w:ascii="Calibri" w:hAnsi="Calibri" w:cs="Tahoma"/>
              </w:rPr>
            </w:pPr>
          </w:p>
        </w:tc>
        <w:tc>
          <w:tcPr>
            <w:tcW w:w="1417" w:type="dxa"/>
            <w:tcBorders>
              <w:bottom w:val="single" w:sz="4" w:space="0" w:color="auto"/>
            </w:tcBorders>
            <w:vAlign w:val="center"/>
          </w:tcPr>
          <w:p w14:paraId="0A217189" w14:textId="77777777" w:rsidR="00735C62" w:rsidRPr="009E519E" w:rsidRDefault="00735C62" w:rsidP="00D3572B">
            <w:pPr>
              <w:ind w:right="6"/>
              <w:jc w:val="center"/>
              <w:rPr>
                <w:rFonts w:ascii="Calibri" w:hAnsi="Calibri" w:cs="Tahoma"/>
              </w:rPr>
            </w:pPr>
            <w:r>
              <w:rPr>
                <w:rFonts w:ascii="Calibri" w:hAnsi="Calibri" w:cs="Tahoma"/>
              </w:rPr>
              <w:sym w:font="Wingdings" w:char="F0FC"/>
            </w:r>
          </w:p>
        </w:tc>
        <w:tc>
          <w:tcPr>
            <w:tcW w:w="1418" w:type="dxa"/>
            <w:tcBorders>
              <w:bottom w:val="single" w:sz="4" w:space="0" w:color="auto"/>
            </w:tcBorders>
            <w:vAlign w:val="center"/>
          </w:tcPr>
          <w:p w14:paraId="400D48EC" w14:textId="77777777" w:rsidR="00735C62" w:rsidRPr="009E519E" w:rsidRDefault="00735C62" w:rsidP="00D3572B">
            <w:pPr>
              <w:ind w:right="6"/>
              <w:jc w:val="center"/>
              <w:rPr>
                <w:rFonts w:ascii="Calibri" w:hAnsi="Calibri" w:cs="Tahoma"/>
              </w:rPr>
            </w:pPr>
          </w:p>
        </w:tc>
        <w:tc>
          <w:tcPr>
            <w:tcW w:w="2693" w:type="dxa"/>
            <w:gridSpan w:val="2"/>
            <w:tcBorders>
              <w:bottom w:val="single" w:sz="4" w:space="0" w:color="auto"/>
            </w:tcBorders>
          </w:tcPr>
          <w:p w14:paraId="58B354E5" w14:textId="77777777" w:rsidR="00735C62" w:rsidRPr="009E519E" w:rsidRDefault="00735C62" w:rsidP="00D3572B">
            <w:pPr>
              <w:ind w:right="6"/>
              <w:rPr>
                <w:rFonts w:ascii="Calibri" w:hAnsi="Calibri" w:cs="Tahoma"/>
              </w:rPr>
            </w:pPr>
            <w:r>
              <w:rPr>
                <w:rFonts w:ascii="Calibri" w:hAnsi="Calibri" w:cs="Tahoma"/>
              </w:rPr>
              <w:t>As above, would have no bearing on decision making process</w:t>
            </w:r>
          </w:p>
        </w:tc>
      </w:tr>
      <w:tr w:rsidR="00735C62" w:rsidRPr="009E519E" w14:paraId="0B96D75F" w14:textId="77777777" w:rsidTr="00D3572B">
        <w:trPr>
          <w:trHeight w:val="559"/>
        </w:trPr>
        <w:tc>
          <w:tcPr>
            <w:tcW w:w="2557" w:type="dxa"/>
            <w:tcBorders>
              <w:bottom w:val="single" w:sz="4" w:space="0" w:color="auto"/>
            </w:tcBorders>
            <w:vAlign w:val="center"/>
          </w:tcPr>
          <w:p w14:paraId="33B69CCF" w14:textId="77777777" w:rsidR="00735C62" w:rsidRPr="009E519E" w:rsidRDefault="00735C62" w:rsidP="00D3572B">
            <w:pPr>
              <w:ind w:right="6"/>
              <w:rPr>
                <w:rFonts w:ascii="Calibri" w:hAnsi="Calibri" w:cs="Tahoma"/>
                <w:b/>
              </w:rPr>
            </w:pPr>
            <w:r>
              <w:rPr>
                <w:rFonts w:ascii="Calibri" w:hAnsi="Calibri" w:cs="Tahoma"/>
                <w:b/>
              </w:rPr>
              <w:t>Gender Identity / Gender Expression</w:t>
            </w:r>
          </w:p>
        </w:tc>
        <w:tc>
          <w:tcPr>
            <w:tcW w:w="1415" w:type="dxa"/>
            <w:tcBorders>
              <w:bottom w:val="single" w:sz="4" w:space="0" w:color="auto"/>
            </w:tcBorders>
            <w:vAlign w:val="center"/>
          </w:tcPr>
          <w:p w14:paraId="7FAA8198" w14:textId="77777777" w:rsidR="00735C62" w:rsidRPr="009E519E" w:rsidRDefault="00735C62" w:rsidP="00D3572B">
            <w:pPr>
              <w:ind w:right="6"/>
              <w:jc w:val="center"/>
              <w:rPr>
                <w:rFonts w:ascii="Calibri" w:hAnsi="Calibri" w:cs="Tahoma"/>
              </w:rPr>
            </w:pPr>
          </w:p>
        </w:tc>
        <w:tc>
          <w:tcPr>
            <w:tcW w:w="1417" w:type="dxa"/>
            <w:tcBorders>
              <w:bottom w:val="single" w:sz="4" w:space="0" w:color="auto"/>
            </w:tcBorders>
            <w:vAlign w:val="center"/>
          </w:tcPr>
          <w:p w14:paraId="4B3AA099" w14:textId="77777777" w:rsidR="00735C62" w:rsidRDefault="00735C62" w:rsidP="00D3572B">
            <w:pPr>
              <w:ind w:right="6"/>
              <w:jc w:val="center"/>
              <w:rPr>
                <w:rFonts w:ascii="Calibri" w:hAnsi="Calibri" w:cs="Tahoma"/>
              </w:rPr>
            </w:pPr>
            <w:r>
              <w:rPr>
                <w:rFonts w:ascii="Calibri" w:hAnsi="Calibri" w:cs="Tahoma"/>
              </w:rPr>
              <w:sym w:font="Wingdings" w:char="F0FC"/>
            </w:r>
          </w:p>
        </w:tc>
        <w:tc>
          <w:tcPr>
            <w:tcW w:w="1418" w:type="dxa"/>
            <w:tcBorders>
              <w:bottom w:val="single" w:sz="4" w:space="0" w:color="auto"/>
            </w:tcBorders>
            <w:vAlign w:val="center"/>
          </w:tcPr>
          <w:p w14:paraId="232FFB81" w14:textId="77777777" w:rsidR="00735C62" w:rsidRPr="009E519E" w:rsidRDefault="00735C62" w:rsidP="00D3572B">
            <w:pPr>
              <w:ind w:right="6"/>
              <w:jc w:val="center"/>
              <w:rPr>
                <w:rFonts w:ascii="Calibri" w:hAnsi="Calibri" w:cs="Tahoma"/>
              </w:rPr>
            </w:pPr>
          </w:p>
        </w:tc>
        <w:tc>
          <w:tcPr>
            <w:tcW w:w="2693" w:type="dxa"/>
            <w:gridSpan w:val="2"/>
            <w:tcBorders>
              <w:bottom w:val="single" w:sz="4" w:space="0" w:color="auto"/>
            </w:tcBorders>
          </w:tcPr>
          <w:p w14:paraId="02D04940" w14:textId="77777777" w:rsidR="00735C62" w:rsidRPr="009E519E" w:rsidRDefault="00735C62" w:rsidP="00D3572B">
            <w:pPr>
              <w:ind w:right="6"/>
              <w:rPr>
                <w:rFonts w:ascii="Calibri" w:hAnsi="Calibri" w:cs="Tahoma"/>
              </w:rPr>
            </w:pPr>
            <w:r>
              <w:rPr>
                <w:rFonts w:ascii="Calibri" w:hAnsi="Calibri" w:cs="Tahoma"/>
              </w:rPr>
              <w:t>As above, would have no bearing on decision making process</w:t>
            </w:r>
          </w:p>
        </w:tc>
      </w:tr>
      <w:tr w:rsidR="00735C62" w:rsidRPr="009E519E" w14:paraId="2F8F819B" w14:textId="77777777" w:rsidTr="00D3572B">
        <w:trPr>
          <w:trHeight w:val="559"/>
        </w:trPr>
        <w:tc>
          <w:tcPr>
            <w:tcW w:w="2557" w:type="dxa"/>
            <w:tcBorders>
              <w:bottom w:val="single" w:sz="4" w:space="0" w:color="auto"/>
            </w:tcBorders>
            <w:vAlign w:val="center"/>
          </w:tcPr>
          <w:p w14:paraId="34D1170E" w14:textId="77777777" w:rsidR="00735C62" w:rsidRDefault="00735C62" w:rsidP="00D3572B">
            <w:pPr>
              <w:ind w:right="6"/>
              <w:rPr>
                <w:rFonts w:ascii="Calibri" w:hAnsi="Calibri" w:cs="Tahoma"/>
                <w:b/>
              </w:rPr>
            </w:pPr>
            <w:r>
              <w:rPr>
                <w:rFonts w:ascii="Calibri" w:hAnsi="Calibri" w:cs="Tahoma"/>
                <w:b/>
              </w:rPr>
              <w:t>Marriage or Civil Partnership</w:t>
            </w:r>
          </w:p>
        </w:tc>
        <w:tc>
          <w:tcPr>
            <w:tcW w:w="1415" w:type="dxa"/>
            <w:tcBorders>
              <w:bottom w:val="single" w:sz="4" w:space="0" w:color="auto"/>
            </w:tcBorders>
            <w:vAlign w:val="center"/>
          </w:tcPr>
          <w:p w14:paraId="546E3FC1" w14:textId="77777777" w:rsidR="00735C62" w:rsidRPr="009E519E" w:rsidRDefault="00735C62" w:rsidP="00D3572B">
            <w:pPr>
              <w:ind w:right="6"/>
              <w:jc w:val="center"/>
              <w:rPr>
                <w:rFonts w:ascii="Calibri" w:hAnsi="Calibri" w:cs="Tahoma"/>
              </w:rPr>
            </w:pPr>
          </w:p>
        </w:tc>
        <w:tc>
          <w:tcPr>
            <w:tcW w:w="1417" w:type="dxa"/>
            <w:tcBorders>
              <w:bottom w:val="single" w:sz="4" w:space="0" w:color="auto"/>
            </w:tcBorders>
            <w:vAlign w:val="center"/>
          </w:tcPr>
          <w:p w14:paraId="2490AB3D" w14:textId="77777777" w:rsidR="00735C62" w:rsidRDefault="00735C62" w:rsidP="00D3572B">
            <w:pPr>
              <w:ind w:right="6"/>
              <w:jc w:val="center"/>
              <w:rPr>
                <w:rFonts w:ascii="Calibri" w:hAnsi="Calibri" w:cs="Tahoma"/>
              </w:rPr>
            </w:pPr>
            <w:r>
              <w:rPr>
                <w:rFonts w:ascii="Calibri" w:hAnsi="Calibri" w:cs="Tahoma"/>
              </w:rPr>
              <w:sym w:font="Wingdings" w:char="F0FC"/>
            </w:r>
          </w:p>
        </w:tc>
        <w:tc>
          <w:tcPr>
            <w:tcW w:w="1418" w:type="dxa"/>
            <w:tcBorders>
              <w:bottom w:val="single" w:sz="4" w:space="0" w:color="auto"/>
            </w:tcBorders>
            <w:vAlign w:val="center"/>
          </w:tcPr>
          <w:p w14:paraId="5D061654" w14:textId="77777777" w:rsidR="00735C62" w:rsidRPr="009E519E" w:rsidRDefault="00735C62" w:rsidP="00D3572B">
            <w:pPr>
              <w:ind w:right="6"/>
              <w:jc w:val="center"/>
              <w:rPr>
                <w:rFonts w:ascii="Calibri" w:hAnsi="Calibri" w:cs="Tahoma"/>
              </w:rPr>
            </w:pPr>
          </w:p>
        </w:tc>
        <w:tc>
          <w:tcPr>
            <w:tcW w:w="2693" w:type="dxa"/>
            <w:gridSpan w:val="2"/>
            <w:tcBorders>
              <w:bottom w:val="single" w:sz="4" w:space="0" w:color="auto"/>
            </w:tcBorders>
          </w:tcPr>
          <w:p w14:paraId="4D93862E" w14:textId="77777777" w:rsidR="00735C62" w:rsidRPr="009E519E" w:rsidRDefault="00735C62" w:rsidP="00D3572B">
            <w:pPr>
              <w:ind w:right="6"/>
              <w:rPr>
                <w:rFonts w:ascii="Calibri" w:hAnsi="Calibri" w:cs="Tahoma"/>
              </w:rPr>
            </w:pPr>
            <w:r>
              <w:rPr>
                <w:rFonts w:ascii="Calibri" w:hAnsi="Calibri" w:cs="Tahoma"/>
              </w:rPr>
              <w:t>As above, would have no bearing on decision making process</w:t>
            </w:r>
          </w:p>
        </w:tc>
      </w:tr>
      <w:tr w:rsidR="00735C62" w:rsidRPr="009E519E" w14:paraId="340F1D7E" w14:textId="77777777" w:rsidTr="00D3572B">
        <w:trPr>
          <w:trHeight w:val="559"/>
        </w:trPr>
        <w:tc>
          <w:tcPr>
            <w:tcW w:w="2557" w:type="dxa"/>
            <w:tcBorders>
              <w:bottom w:val="single" w:sz="4" w:space="0" w:color="auto"/>
            </w:tcBorders>
            <w:vAlign w:val="center"/>
          </w:tcPr>
          <w:p w14:paraId="2F6BEA8E" w14:textId="77777777" w:rsidR="00735C62" w:rsidRPr="009E519E" w:rsidRDefault="00735C62" w:rsidP="00D3572B">
            <w:pPr>
              <w:ind w:right="6"/>
              <w:rPr>
                <w:rFonts w:ascii="Calibri" w:hAnsi="Calibri" w:cs="Tahoma"/>
                <w:b/>
              </w:rPr>
            </w:pPr>
            <w:r w:rsidRPr="009E519E">
              <w:rPr>
                <w:rFonts w:ascii="Calibri" w:hAnsi="Calibri" w:cs="Tahoma"/>
                <w:b/>
                <w:bCs/>
              </w:rPr>
              <w:t>Socio Economic Impact</w:t>
            </w:r>
          </w:p>
        </w:tc>
        <w:tc>
          <w:tcPr>
            <w:tcW w:w="1415" w:type="dxa"/>
            <w:tcBorders>
              <w:bottom w:val="single" w:sz="4" w:space="0" w:color="auto"/>
            </w:tcBorders>
            <w:vAlign w:val="center"/>
          </w:tcPr>
          <w:p w14:paraId="5A121BDB" w14:textId="77777777" w:rsidR="00735C62" w:rsidRPr="009E519E" w:rsidRDefault="00735C62" w:rsidP="00D3572B">
            <w:pPr>
              <w:ind w:right="6"/>
              <w:jc w:val="center"/>
              <w:rPr>
                <w:rFonts w:ascii="Calibri" w:hAnsi="Calibri" w:cs="Tahoma"/>
              </w:rPr>
            </w:pPr>
          </w:p>
        </w:tc>
        <w:tc>
          <w:tcPr>
            <w:tcW w:w="1417" w:type="dxa"/>
            <w:tcBorders>
              <w:bottom w:val="single" w:sz="4" w:space="0" w:color="auto"/>
            </w:tcBorders>
            <w:vAlign w:val="center"/>
          </w:tcPr>
          <w:p w14:paraId="03C38B56" w14:textId="77777777" w:rsidR="00735C62" w:rsidRPr="009E519E" w:rsidRDefault="00735C62" w:rsidP="00D3572B">
            <w:pPr>
              <w:ind w:right="6"/>
              <w:jc w:val="center"/>
              <w:rPr>
                <w:rFonts w:ascii="Calibri" w:hAnsi="Calibri" w:cs="Tahoma"/>
              </w:rPr>
            </w:pPr>
            <w:r>
              <w:rPr>
                <w:rFonts w:ascii="Calibri" w:hAnsi="Calibri" w:cs="Tahoma"/>
              </w:rPr>
              <w:sym w:font="Wingdings" w:char="F0FC"/>
            </w:r>
          </w:p>
        </w:tc>
        <w:tc>
          <w:tcPr>
            <w:tcW w:w="1418" w:type="dxa"/>
            <w:tcBorders>
              <w:bottom w:val="single" w:sz="4" w:space="0" w:color="auto"/>
            </w:tcBorders>
            <w:vAlign w:val="center"/>
          </w:tcPr>
          <w:p w14:paraId="7FC50F7F" w14:textId="77777777" w:rsidR="00735C62" w:rsidRPr="009E519E" w:rsidRDefault="00735C62" w:rsidP="00D3572B">
            <w:pPr>
              <w:ind w:right="6"/>
              <w:jc w:val="center"/>
              <w:rPr>
                <w:rFonts w:ascii="Calibri" w:hAnsi="Calibri" w:cs="Tahoma"/>
              </w:rPr>
            </w:pPr>
          </w:p>
        </w:tc>
        <w:tc>
          <w:tcPr>
            <w:tcW w:w="2693" w:type="dxa"/>
            <w:gridSpan w:val="2"/>
            <w:tcBorders>
              <w:bottom w:val="single" w:sz="4" w:space="0" w:color="auto"/>
            </w:tcBorders>
          </w:tcPr>
          <w:p w14:paraId="45F07040" w14:textId="77777777" w:rsidR="00735C62" w:rsidRPr="009E519E" w:rsidRDefault="00735C62" w:rsidP="00D3572B">
            <w:pPr>
              <w:ind w:right="6"/>
              <w:rPr>
                <w:rFonts w:ascii="Calibri" w:hAnsi="Calibri" w:cs="Tahoma"/>
              </w:rPr>
            </w:pPr>
            <w:r>
              <w:rPr>
                <w:rFonts w:ascii="Calibri" w:hAnsi="Calibri" w:cs="Tahoma"/>
              </w:rPr>
              <w:t xml:space="preserve">Whist it is recognised that there will be a small negative impact of the operation of this Policy on those who are not in employment / full time education, the availability of alternative accommodation that would be available to these groups is of sufficient quantity and availability that the impacts are almost negligible </w:t>
            </w:r>
          </w:p>
        </w:tc>
      </w:tr>
      <w:tr w:rsidR="00735C62" w:rsidRPr="009E519E" w14:paraId="3511DDA0" w14:textId="77777777" w:rsidTr="00D3572B">
        <w:trPr>
          <w:trHeight w:val="559"/>
        </w:trPr>
        <w:tc>
          <w:tcPr>
            <w:tcW w:w="2557" w:type="dxa"/>
            <w:tcBorders>
              <w:bottom w:val="single" w:sz="4" w:space="0" w:color="auto"/>
            </w:tcBorders>
            <w:vAlign w:val="center"/>
          </w:tcPr>
          <w:p w14:paraId="42EB473C" w14:textId="77777777" w:rsidR="00735C62" w:rsidRPr="009E519E" w:rsidRDefault="00735C62" w:rsidP="00D3572B">
            <w:pPr>
              <w:ind w:right="6"/>
              <w:rPr>
                <w:rFonts w:ascii="Calibri" w:hAnsi="Calibri" w:cs="Tahoma"/>
                <w:b/>
              </w:rPr>
            </w:pPr>
            <w:r w:rsidRPr="009E519E">
              <w:rPr>
                <w:rFonts w:ascii="Calibri" w:hAnsi="Calibri" w:cs="Tahoma"/>
                <w:b/>
              </w:rPr>
              <w:t>Human Rights</w:t>
            </w:r>
          </w:p>
        </w:tc>
        <w:tc>
          <w:tcPr>
            <w:tcW w:w="1415" w:type="dxa"/>
            <w:tcBorders>
              <w:bottom w:val="single" w:sz="4" w:space="0" w:color="auto"/>
            </w:tcBorders>
            <w:vAlign w:val="center"/>
          </w:tcPr>
          <w:p w14:paraId="5718A82E" w14:textId="77777777" w:rsidR="00735C62" w:rsidRPr="009E519E" w:rsidRDefault="00735C62" w:rsidP="00D3572B">
            <w:pPr>
              <w:ind w:right="6"/>
              <w:jc w:val="center"/>
              <w:rPr>
                <w:rFonts w:ascii="Calibri" w:hAnsi="Calibri" w:cs="Tahoma"/>
              </w:rPr>
            </w:pPr>
          </w:p>
        </w:tc>
        <w:tc>
          <w:tcPr>
            <w:tcW w:w="1417" w:type="dxa"/>
            <w:tcBorders>
              <w:bottom w:val="single" w:sz="4" w:space="0" w:color="auto"/>
            </w:tcBorders>
            <w:vAlign w:val="center"/>
          </w:tcPr>
          <w:p w14:paraId="67F8CF51" w14:textId="77777777" w:rsidR="00735C62" w:rsidRPr="009E519E" w:rsidRDefault="00735C62" w:rsidP="00D3572B">
            <w:pPr>
              <w:ind w:right="6"/>
              <w:jc w:val="center"/>
              <w:rPr>
                <w:rFonts w:ascii="Calibri" w:hAnsi="Calibri" w:cs="Tahoma"/>
              </w:rPr>
            </w:pPr>
            <w:r>
              <w:rPr>
                <w:rFonts w:ascii="Calibri" w:hAnsi="Calibri" w:cs="Tahoma"/>
              </w:rPr>
              <w:sym w:font="Wingdings" w:char="F0FC"/>
            </w:r>
          </w:p>
        </w:tc>
        <w:tc>
          <w:tcPr>
            <w:tcW w:w="1418" w:type="dxa"/>
            <w:tcBorders>
              <w:bottom w:val="single" w:sz="4" w:space="0" w:color="auto"/>
            </w:tcBorders>
            <w:vAlign w:val="center"/>
          </w:tcPr>
          <w:p w14:paraId="4F3631C3" w14:textId="77777777" w:rsidR="00735C62" w:rsidRPr="009E519E" w:rsidRDefault="00735C62" w:rsidP="00D3572B">
            <w:pPr>
              <w:ind w:right="6"/>
              <w:jc w:val="center"/>
              <w:rPr>
                <w:rFonts w:ascii="Calibri" w:hAnsi="Calibri" w:cs="Tahoma"/>
              </w:rPr>
            </w:pPr>
          </w:p>
        </w:tc>
        <w:tc>
          <w:tcPr>
            <w:tcW w:w="2693" w:type="dxa"/>
            <w:gridSpan w:val="2"/>
            <w:tcBorders>
              <w:bottom w:val="single" w:sz="4" w:space="0" w:color="auto"/>
            </w:tcBorders>
            <w:vAlign w:val="center"/>
          </w:tcPr>
          <w:p w14:paraId="6D1FEFC9" w14:textId="5D36A184" w:rsidR="00735C62" w:rsidRDefault="00735C62" w:rsidP="00D3572B">
            <w:pPr>
              <w:ind w:right="6"/>
              <w:rPr>
                <w:rFonts w:ascii="Calibri" w:hAnsi="Calibri" w:cs="Tahoma"/>
              </w:rPr>
            </w:pPr>
            <w:r>
              <w:rPr>
                <w:rFonts w:ascii="Calibri" w:hAnsi="Calibri" w:cs="Tahoma"/>
              </w:rPr>
              <w:t>There are not considered to be any implications on Human Rights that would result from the operation of this Policy</w:t>
            </w:r>
            <w:r w:rsidR="00BF4797">
              <w:rPr>
                <w:rFonts w:ascii="Calibri" w:hAnsi="Calibri" w:cs="Tahoma"/>
              </w:rPr>
              <w:t>.</w:t>
            </w:r>
          </w:p>
          <w:p w14:paraId="6DB432E8" w14:textId="77777777" w:rsidR="00735C62" w:rsidRPr="009E519E" w:rsidRDefault="00735C62" w:rsidP="00D3572B">
            <w:pPr>
              <w:ind w:right="6"/>
              <w:rPr>
                <w:rFonts w:ascii="Calibri" w:hAnsi="Calibri" w:cs="Tahoma"/>
              </w:rPr>
            </w:pPr>
          </w:p>
        </w:tc>
      </w:tr>
      <w:tr w:rsidR="00735C62" w:rsidRPr="009E519E" w14:paraId="38861A2F" w14:textId="77777777" w:rsidTr="00D3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6807"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vAlign w:val="center"/>
          </w:tcPr>
          <w:p w14:paraId="097019F8" w14:textId="77777777" w:rsidR="00735C62" w:rsidRPr="009E519E" w:rsidRDefault="00735C62" w:rsidP="00D3572B">
            <w:pPr>
              <w:pStyle w:val="NormalWeb"/>
              <w:spacing w:before="0" w:beforeAutospacing="0"/>
              <w:textAlignment w:val="baseline"/>
              <w:rPr>
                <w:rFonts w:ascii="Calibri" w:hAnsi="Calibri" w:cs="Tahoma"/>
                <w:bCs/>
                <w:color w:val="000000"/>
                <w:kern w:val="24"/>
                <w:lang w:val="en-US"/>
              </w:rPr>
            </w:pPr>
            <w:r w:rsidRPr="009E519E">
              <w:rPr>
                <w:rFonts w:ascii="Calibri" w:hAnsi="Calibri" w:cs="Tahoma"/>
                <w:bCs/>
                <w:color w:val="000000"/>
                <w:kern w:val="24"/>
                <w:lang w:val="en-US"/>
              </w:rPr>
              <w:t>Is there potential for any adverse impact</w:t>
            </w:r>
          </w:p>
        </w:tc>
        <w:tc>
          <w:tcPr>
            <w:tcW w:w="2693"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vAlign w:val="center"/>
          </w:tcPr>
          <w:p w14:paraId="2CA10694" w14:textId="77777777" w:rsidR="00735C62" w:rsidRPr="009E519E" w:rsidRDefault="00735C62" w:rsidP="00D3572B">
            <w:pPr>
              <w:pStyle w:val="NormalWeb"/>
              <w:spacing w:before="0" w:beforeAutospacing="0"/>
              <w:ind w:left="547" w:hanging="547"/>
              <w:jc w:val="center"/>
              <w:textAlignment w:val="baseline"/>
              <w:rPr>
                <w:rFonts w:ascii="Calibri" w:hAnsi="Calibri" w:cs="Tahoma"/>
                <w:color w:val="000000"/>
                <w:kern w:val="24"/>
              </w:rPr>
            </w:pPr>
            <w:r>
              <w:rPr>
                <w:rFonts w:ascii="Calibri" w:hAnsi="Calibri" w:cs="Tahoma"/>
                <w:color w:val="000000"/>
                <w:kern w:val="24"/>
              </w:rPr>
              <w:t>No</w:t>
            </w:r>
          </w:p>
        </w:tc>
      </w:tr>
      <w:tr w:rsidR="00735C62" w:rsidRPr="009E519E" w14:paraId="29C1AE98" w14:textId="77777777" w:rsidTr="00D3572B">
        <w:trPr>
          <w:trHeight w:val="80"/>
        </w:trPr>
        <w:tc>
          <w:tcPr>
            <w:tcW w:w="9500" w:type="dxa"/>
            <w:gridSpan w:val="6"/>
            <w:tcBorders>
              <w:top w:val="nil"/>
              <w:left w:val="single" w:sz="4" w:space="0" w:color="auto"/>
              <w:right w:val="single" w:sz="4" w:space="0" w:color="auto"/>
            </w:tcBorders>
            <w:shd w:val="clear" w:color="auto" w:fill="D9D9D9" w:themeFill="background1" w:themeFillShade="D9"/>
          </w:tcPr>
          <w:p w14:paraId="0BA73C51" w14:textId="77777777" w:rsidR="00735C62" w:rsidRPr="009E519E" w:rsidRDefault="00735C62" w:rsidP="00D3572B">
            <w:pPr>
              <w:ind w:right="6"/>
              <w:rPr>
                <w:rFonts w:ascii="Calibri" w:hAnsi="Calibri" w:cs="Tahoma"/>
                <w:bCs/>
              </w:rPr>
            </w:pPr>
            <w:r w:rsidRPr="009E519E">
              <w:rPr>
                <w:rFonts w:ascii="Calibri" w:hAnsi="Calibri" w:cs="Tahoma"/>
                <w:bCs/>
              </w:rPr>
              <w:lastRenderedPageBreak/>
              <w:t>Please explain why…</w:t>
            </w:r>
          </w:p>
        </w:tc>
      </w:tr>
      <w:tr w:rsidR="00735C62" w:rsidRPr="009E519E" w14:paraId="54638630" w14:textId="77777777" w:rsidTr="00D3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134"/>
        </w:trPr>
        <w:tc>
          <w:tcPr>
            <w:tcW w:w="950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653B56B" w14:textId="77777777" w:rsidR="00735C62" w:rsidRPr="006D5455" w:rsidRDefault="00735C62" w:rsidP="00735C62">
            <w:pPr>
              <w:pStyle w:val="NormalWeb"/>
              <w:numPr>
                <w:ilvl w:val="0"/>
                <w:numId w:val="28"/>
              </w:numPr>
              <w:spacing w:before="0" w:beforeAutospacing="0"/>
              <w:textAlignment w:val="baseline"/>
              <w:rPr>
                <w:rFonts w:ascii="Calibri" w:hAnsi="Calibri" w:cs="Tahoma"/>
                <w:color w:val="000000"/>
                <w:kern w:val="24"/>
              </w:rPr>
            </w:pPr>
            <w:r>
              <w:rPr>
                <w:rFonts w:ascii="Calibri" w:hAnsi="Calibri" w:cs="Tahoma"/>
                <w:color w:val="000000"/>
                <w:kern w:val="24"/>
              </w:rPr>
              <w:t>This assessment has not identified any potential for adverse impact for any group.  The slight differential impact for those who are not employed or in full time education does not then lead to an adverse impact, due to the wider housing options that are available</w:t>
            </w:r>
          </w:p>
        </w:tc>
      </w:tr>
      <w:tr w:rsidR="00735C62" w:rsidRPr="009E519E" w14:paraId="37942E44" w14:textId="77777777" w:rsidTr="00D3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6930" w:type="dxa"/>
            <w:gridSpan w:val="5"/>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vAlign w:val="center"/>
          </w:tcPr>
          <w:p w14:paraId="091FC1BF" w14:textId="77777777" w:rsidR="00735C62" w:rsidRPr="009E519E" w:rsidRDefault="00735C62" w:rsidP="00D3572B">
            <w:pPr>
              <w:pStyle w:val="NormalWeb"/>
              <w:spacing w:before="0" w:beforeAutospacing="0"/>
              <w:textAlignment w:val="baseline"/>
              <w:rPr>
                <w:rFonts w:ascii="Calibri" w:hAnsi="Calibri" w:cs="Arial"/>
              </w:rPr>
            </w:pPr>
            <w:r w:rsidRPr="009E519E">
              <w:rPr>
                <w:rFonts w:ascii="Calibri" w:hAnsi="Calibri" w:cs="Tahoma"/>
                <w:bCs/>
                <w:color w:val="000000"/>
                <w:kern w:val="24"/>
                <w:lang w:val="en-US"/>
              </w:rPr>
              <w:t>Can any adverse impact be justified on any grounds</w:t>
            </w:r>
          </w:p>
        </w:tc>
        <w:tc>
          <w:tcPr>
            <w:tcW w:w="25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72" w:type="dxa"/>
              <w:left w:w="144" w:type="dxa"/>
              <w:bottom w:w="72" w:type="dxa"/>
              <w:right w:w="144" w:type="dxa"/>
            </w:tcMar>
            <w:vAlign w:val="center"/>
          </w:tcPr>
          <w:p w14:paraId="22587BDA" w14:textId="77777777" w:rsidR="00735C62" w:rsidRPr="009E519E" w:rsidRDefault="00735C62" w:rsidP="00D3572B">
            <w:pPr>
              <w:pStyle w:val="NormalWeb"/>
              <w:spacing w:before="0" w:beforeAutospacing="0"/>
              <w:ind w:left="547" w:hanging="547"/>
              <w:jc w:val="center"/>
              <w:textAlignment w:val="baseline"/>
              <w:rPr>
                <w:rFonts w:ascii="Calibri" w:hAnsi="Calibri" w:cs="Arial"/>
              </w:rPr>
            </w:pPr>
            <w:r>
              <w:rPr>
                <w:rFonts w:ascii="Calibri" w:hAnsi="Calibri" w:cs="Arial"/>
              </w:rPr>
              <w:t>No</w:t>
            </w:r>
          </w:p>
        </w:tc>
      </w:tr>
      <w:tr w:rsidR="00735C62" w:rsidRPr="009E519E" w14:paraId="3825335C" w14:textId="77777777" w:rsidTr="00D3572B">
        <w:trPr>
          <w:trHeight w:val="80"/>
        </w:trPr>
        <w:tc>
          <w:tcPr>
            <w:tcW w:w="9500" w:type="dxa"/>
            <w:gridSpan w:val="6"/>
            <w:tcBorders>
              <w:top w:val="nil"/>
              <w:left w:val="single" w:sz="4" w:space="0" w:color="auto"/>
              <w:right w:val="single" w:sz="4" w:space="0" w:color="auto"/>
            </w:tcBorders>
            <w:shd w:val="clear" w:color="auto" w:fill="D9D9D9" w:themeFill="background1" w:themeFillShade="D9"/>
          </w:tcPr>
          <w:p w14:paraId="4ABFB8E6" w14:textId="77777777" w:rsidR="00735C62" w:rsidRPr="003018B0" w:rsidRDefault="00735C62" w:rsidP="00D3572B">
            <w:pPr>
              <w:ind w:right="6"/>
              <w:rPr>
                <w:rFonts w:ascii="Calibri" w:hAnsi="Calibri" w:cs="Tahoma"/>
                <w:bCs/>
              </w:rPr>
            </w:pPr>
            <w:r w:rsidRPr="003018B0">
              <w:rPr>
                <w:rFonts w:ascii="Calibri" w:hAnsi="Calibri" w:cs="Tahoma"/>
                <w:bCs/>
              </w:rPr>
              <w:t>Please explain why…</w:t>
            </w:r>
          </w:p>
        </w:tc>
      </w:tr>
      <w:tr w:rsidR="00735C62" w:rsidRPr="009E519E" w14:paraId="0081A1A3" w14:textId="77777777" w:rsidTr="00D3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1420"/>
        </w:trPr>
        <w:tc>
          <w:tcPr>
            <w:tcW w:w="9500" w:type="dxa"/>
            <w:gridSpan w:val="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630282B" w14:textId="77777777" w:rsidR="00735C62" w:rsidRPr="009E519E" w:rsidRDefault="00735C62" w:rsidP="00735C62">
            <w:pPr>
              <w:pStyle w:val="NormalWeb"/>
              <w:numPr>
                <w:ilvl w:val="0"/>
                <w:numId w:val="28"/>
              </w:numPr>
              <w:spacing w:before="0" w:beforeAutospacing="0"/>
              <w:textAlignment w:val="baseline"/>
              <w:rPr>
                <w:rFonts w:ascii="Calibri" w:hAnsi="Calibri" w:cs="Tahoma"/>
                <w:color w:val="000000"/>
                <w:kern w:val="24"/>
              </w:rPr>
            </w:pPr>
            <w:r>
              <w:rPr>
                <w:rFonts w:ascii="Calibri" w:hAnsi="Calibri" w:cs="Tahoma"/>
                <w:color w:val="000000"/>
                <w:kern w:val="24"/>
              </w:rPr>
              <w:t>No adverse impact of this policy could be justified.  If this occurs during operation and if this were to be discovered in any way this should prompt an immediate review of the Policy provisions</w:t>
            </w:r>
          </w:p>
        </w:tc>
      </w:tr>
      <w:tr w:rsidR="00735C62" w:rsidRPr="009E519E" w14:paraId="3302A13C" w14:textId="77777777" w:rsidTr="00D35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624"/>
        </w:trPr>
        <w:tc>
          <w:tcPr>
            <w:tcW w:w="9500" w:type="dxa"/>
            <w:gridSpan w:val="6"/>
            <w:tcBorders>
              <w:top w:val="single" w:sz="8" w:space="0" w:color="000000"/>
              <w:left w:val="single" w:sz="8" w:space="0" w:color="000000"/>
              <w:bottom w:val="single" w:sz="4" w:space="0" w:color="auto"/>
              <w:right w:val="single" w:sz="8" w:space="0" w:color="000000"/>
            </w:tcBorders>
            <w:shd w:val="clear" w:color="auto" w:fill="D9D9D9" w:themeFill="background1" w:themeFillShade="D9"/>
            <w:tcMar>
              <w:top w:w="72" w:type="dxa"/>
              <w:left w:w="144" w:type="dxa"/>
              <w:bottom w:w="72" w:type="dxa"/>
              <w:right w:w="144" w:type="dxa"/>
            </w:tcMar>
            <w:vAlign w:val="center"/>
          </w:tcPr>
          <w:p w14:paraId="08229D8B" w14:textId="77777777" w:rsidR="00735C62" w:rsidRPr="009E519E" w:rsidRDefault="00735C62" w:rsidP="00D3572B">
            <w:pPr>
              <w:pStyle w:val="NormalWeb"/>
              <w:spacing w:before="0" w:beforeAutospacing="0"/>
              <w:textAlignment w:val="baseline"/>
              <w:rPr>
                <w:rFonts w:ascii="Calibri" w:hAnsi="Calibri" w:cs="Tahoma"/>
                <w:color w:val="000000"/>
                <w:kern w:val="24"/>
              </w:rPr>
            </w:pPr>
            <w:r w:rsidRPr="009E519E">
              <w:rPr>
                <w:rFonts w:ascii="Calibri" w:hAnsi="Calibri" w:cs="Tahoma"/>
                <w:bCs/>
                <w:color w:val="000000"/>
                <w:kern w:val="24"/>
                <w:lang w:val="en-US"/>
              </w:rPr>
              <w:t xml:space="preserve">Please </w:t>
            </w:r>
            <w:r>
              <w:rPr>
                <w:rFonts w:ascii="Calibri" w:hAnsi="Calibri" w:cs="Tahoma"/>
                <w:bCs/>
                <w:color w:val="000000"/>
                <w:kern w:val="24"/>
                <w:lang w:val="en-US"/>
              </w:rPr>
              <w:t xml:space="preserve">outline </w:t>
            </w:r>
            <w:r w:rsidRPr="009E519E">
              <w:rPr>
                <w:rFonts w:ascii="Calibri" w:hAnsi="Calibri" w:cs="Tahoma"/>
                <w:bCs/>
                <w:color w:val="000000"/>
                <w:kern w:val="24"/>
                <w:lang w:val="en-US"/>
              </w:rPr>
              <w:t>what measures or changes you have or will put into place to mitigate any identified negative or adverse impact</w:t>
            </w:r>
          </w:p>
        </w:tc>
      </w:tr>
      <w:tr w:rsidR="00735C62" w:rsidRPr="009E519E" w14:paraId="26806E9C" w14:textId="77777777" w:rsidTr="00D3572B">
        <w:trPr>
          <w:trHeight w:val="1051"/>
        </w:trPr>
        <w:tc>
          <w:tcPr>
            <w:tcW w:w="9500" w:type="dxa"/>
            <w:gridSpan w:val="6"/>
            <w:tcBorders>
              <w:top w:val="single" w:sz="4" w:space="0" w:color="auto"/>
              <w:left w:val="single" w:sz="4" w:space="0" w:color="auto"/>
              <w:bottom w:val="single" w:sz="4" w:space="0" w:color="auto"/>
              <w:right w:val="single" w:sz="4" w:space="0" w:color="auto"/>
            </w:tcBorders>
          </w:tcPr>
          <w:p w14:paraId="06F04192" w14:textId="77777777" w:rsidR="00735C62" w:rsidRDefault="00735C62" w:rsidP="00735C62">
            <w:pPr>
              <w:pStyle w:val="ListParagraph"/>
              <w:numPr>
                <w:ilvl w:val="0"/>
                <w:numId w:val="29"/>
              </w:numPr>
              <w:autoSpaceDE/>
              <w:autoSpaceDN/>
              <w:adjustRightInd/>
              <w:snapToGrid/>
              <w:spacing w:after="0"/>
              <w:ind w:right="6"/>
              <w:contextualSpacing/>
              <w:rPr>
                <w:rFonts w:ascii="Calibri" w:hAnsi="Calibri" w:cs="Tahoma"/>
                <w:bCs/>
              </w:rPr>
            </w:pPr>
            <w:r>
              <w:rPr>
                <w:rFonts w:ascii="Calibri" w:hAnsi="Calibri" w:cs="Tahoma"/>
                <w:bCs/>
              </w:rPr>
              <w:t>As the Policy is new and has not been assessed in live application, it may be that there are unintended consequences that have not been considered in this assessment.  To guard against any unintended consequences the Policy will be closely monitored during the first twelve months of operation and will be subject to a full review / approval process annually thereafter</w:t>
            </w:r>
          </w:p>
          <w:p w14:paraId="4A1033CD" w14:textId="77777777" w:rsidR="00735C62" w:rsidRDefault="00735C62" w:rsidP="00735C62">
            <w:pPr>
              <w:pStyle w:val="ListParagraph"/>
              <w:numPr>
                <w:ilvl w:val="0"/>
                <w:numId w:val="29"/>
              </w:numPr>
              <w:autoSpaceDE/>
              <w:autoSpaceDN/>
              <w:adjustRightInd/>
              <w:snapToGrid/>
              <w:spacing w:after="0"/>
              <w:ind w:right="6"/>
              <w:contextualSpacing/>
              <w:rPr>
                <w:rFonts w:ascii="Calibri" w:hAnsi="Calibri" w:cs="Tahoma"/>
                <w:bCs/>
              </w:rPr>
            </w:pPr>
            <w:r>
              <w:rPr>
                <w:rFonts w:ascii="Calibri" w:hAnsi="Calibri" w:cs="Tahoma"/>
                <w:bCs/>
              </w:rPr>
              <w:t xml:space="preserve">Ongoing monitoring will assess the opinions of those directly impacted i.e. customers that are allocated properties in the apartment-type accommodation at Morris </w:t>
            </w:r>
            <w:proofErr w:type="gramStart"/>
            <w:r>
              <w:rPr>
                <w:rFonts w:ascii="Calibri" w:hAnsi="Calibri" w:cs="Tahoma"/>
                <w:bCs/>
              </w:rPr>
              <w:t>Meadows</w:t>
            </w:r>
            <w:proofErr w:type="gramEnd"/>
            <w:r>
              <w:rPr>
                <w:rFonts w:ascii="Calibri" w:hAnsi="Calibri" w:cs="Tahoma"/>
                <w:bCs/>
              </w:rPr>
              <w:t xml:space="preserve"> and this will be considered alongside other indicators such as turnover rate of properties / tenancy sustainment in presenting an evidence base for continued application of the Policy via the approval bodies (OVH Executive Management Team and Sefton MBC via relevant committee structure)</w:t>
            </w:r>
          </w:p>
          <w:p w14:paraId="6AA012AE" w14:textId="77777777" w:rsidR="00735C62" w:rsidRDefault="00735C62" w:rsidP="00735C62">
            <w:pPr>
              <w:pStyle w:val="ListParagraph"/>
              <w:numPr>
                <w:ilvl w:val="0"/>
                <w:numId w:val="29"/>
              </w:numPr>
              <w:autoSpaceDE/>
              <w:autoSpaceDN/>
              <w:adjustRightInd/>
              <w:snapToGrid/>
              <w:spacing w:after="0"/>
              <w:ind w:right="6"/>
              <w:contextualSpacing/>
              <w:rPr>
                <w:rFonts w:ascii="Calibri" w:hAnsi="Calibri" w:cs="Tahoma"/>
                <w:bCs/>
              </w:rPr>
            </w:pPr>
            <w:r>
              <w:rPr>
                <w:rFonts w:ascii="Calibri" w:hAnsi="Calibri" w:cs="Tahoma"/>
                <w:bCs/>
              </w:rPr>
              <w:t xml:space="preserve">The additional lettings criteria that will be applied </w:t>
            </w:r>
            <w:proofErr w:type="gramStart"/>
            <w:r>
              <w:rPr>
                <w:rFonts w:ascii="Calibri" w:hAnsi="Calibri" w:cs="Tahoma"/>
                <w:bCs/>
              </w:rPr>
              <w:t>as a result of</w:t>
            </w:r>
            <w:proofErr w:type="gramEnd"/>
            <w:r>
              <w:rPr>
                <w:rFonts w:ascii="Calibri" w:hAnsi="Calibri" w:cs="Tahoma"/>
                <w:bCs/>
              </w:rPr>
              <w:t xml:space="preserve"> this Policy will only be relevant at the point of allocation / letting.  This will ensure that those that experience a change of circumstances at any point e.g. loss of employment will not experience any adverse impacts affecting the occupation of their home as a result (provided rent payment and all other tenancy conditions are adhered to)</w:t>
            </w:r>
          </w:p>
          <w:p w14:paraId="19F97F38" w14:textId="77777777" w:rsidR="00735C62" w:rsidRDefault="00735C62" w:rsidP="00735C62">
            <w:pPr>
              <w:pStyle w:val="ListParagraph"/>
              <w:numPr>
                <w:ilvl w:val="0"/>
                <w:numId w:val="29"/>
              </w:numPr>
              <w:autoSpaceDE/>
              <w:autoSpaceDN/>
              <w:adjustRightInd/>
              <w:snapToGrid/>
              <w:spacing w:after="0"/>
              <w:ind w:right="6"/>
              <w:contextualSpacing/>
              <w:rPr>
                <w:rFonts w:ascii="Calibri" w:hAnsi="Calibri" w:cs="Tahoma"/>
                <w:bCs/>
              </w:rPr>
            </w:pPr>
            <w:r>
              <w:rPr>
                <w:rFonts w:ascii="Calibri" w:hAnsi="Calibri" w:cs="Tahoma"/>
                <w:bCs/>
              </w:rPr>
              <w:t xml:space="preserve">OVH has introduced </w:t>
            </w:r>
            <w:proofErr w:type="gramStart"/>
            <w:r>
              <w:rPr>
                <w:rFonts w:ascii="Calibri" w:hAnsi="Calibri" w:cs="Tahoma"/>
                <w:bCs/>
              </w:rPr>
              <w:t>a number of</w:t>
            </w:r>
            <w:proofErr w:type="gramEnd"/>
            <w:r>
              <w:rPr>
                <w:rFonts w:ascii="Calibri" w:hAnsi="Calibri" w:cs="Tahoma"/>
                <w:bCs/>
              </w:rPr>
              <w:t xml:space="preserve"> positive initiatives to ensure the information / need for any differential service provision or additional support required for tenancy sustainment is kept up-to-date and is acted upon (including, where required, referral and signposting to partner agencies).  This includes operation of the ‘Vulnerable Persons and Reasonable Adjustments Policy’ and better data capture via every customer interaction.  These initiatives provide a safeguard that all reasonable steps are being taken to support tenancy sustainment, including those that will directly be impacted by the operation of the Local Lettings Policy</w:t>
            </w:r>
          </w:p>
          <w:p w14:paraId="1392514D" w14:textId="48124D7D" w:rsidR="00735C62" w:rsidRDefault="00735C62" w:rsidP="00735C62">
            <w:pPr>
              <w:pStyle w:val="ListParagraph"/>
              <w:numPr>
                <w:ilvl w:val="0"/>
                <w:numId w:val="29"/>
              </w:numPr>
              <w:autoSpaceDE/>
              <w:autoSpaceDN/>
              <w:adjustRightInd/>
              <w:snapToGrid/>
              <w:spacing w:after="0"/>
              <w:ind w:right="6"/>
              <w:contextualSpacing/>
              <w:rPr>
                <w:rFonts w:ascii="Calibri" w:hAnsi="Calibri" w:cs="Tahoma"/>
                <w:bCs/>
              </w:rPr>
            </w:pPr>
            <w:r>
              <w:rPr>
                <w:rFonts w:ascii="Calibri" w:hAnsi="Calibri" w:cs="Tahoma"/>
                <w:bCs/>
              </w:rPr>
              <w:t xml:space="preserve">It is recommended that the wording of the Local Lettings Policy be reviewed to remove the term ‘full time employment’ </w:t>
            </w:r>
            <w:proofErr w:type="gramStart"/>
            <w:r>
              <w:rPr>
                <w:rFonts w:ascii="Calibri" w:hAnsi="Calibri" w:cs="Tahoma"/>
                <w:bCs/>
              </w:rPr>
              <w:t>so as to</w:t>
            </w:r>
            <w:proofErr w:type="gramEnd"/>
            <w:r>
              <w:rPr>
                <w:rFonts w:ascii="Calibri" w:hAnsi="Calibri" w:cs="Tahoma"/>
                <w:bCs/>
              </w:rPr>
              <w:t xml:space="preserve"> not impose any restrictions to those that may be working part time</w:t>
            </w:r>
            <w:r w:rsidR="00E7454A">
              <w:rPr>
                <w:rFonts w:ascii="Calibri" w:hAnsi="Calibri" w:cs="Tahoma"/>
                <w:bCs/>
              </w:rPr>
              <w:t>.</w:t>
            </w:r>
          </w:p>
          <w:p w14:paraId="6F45B529" w14:textId="77777777" w:rsidR="00735C62" w:rsidRDefault="00735C62" w:rsidP="00735C62">
            <w:pPr>
              <w:pStyle w:val="ListParagraph"/>
              <w:numPr>
                <w:ilvl w:val="0"/>
                <w:numId w:val="29"/>
              </w:numPr>
              <w:autoSpaceDE/>
              <w:autoSpaceDN/>
              <w:adjustRightInd/>
              <w:snapToGrid/>
              <w:spacing w:after="0"/>
              <w:ind w:right="6"/>
              <w:contextualSpacing/>
              <w:rPr>
                <w:rFonts w:ascii="Calibri" w:hAnsi="Calibri" w:cs="Tahoma"/>
                <w:bCs/>
              </w:rPr>
            </w:pPr>
            <w:r>
              <w:rPr>
                <w:rFonts w:ascii="Calibri" w:hAnsi="Calibri" w:cs="Tahoma"/>
                <w:bCs/>
              </w:rPr>
              <w:t xml:space="preserve">It is recommended that the wording ‘limited mobility’ (in the proposal being considered for approval by Sefton MBC) is considered carefully or is rephrased to be more precise to </w:t>
            </w:r>
            <w:r>
              <w:rPr>
                <w:rFonts w:ascii="Calibri" w:hAnsi="Calibri" w:cs="Tahoma"/>
                <w:bCs/>
              </w:rPr>
              <w:lastRenderedPageBreak/>
              <w:t>prevent confusion for applicants / challenge in the case of refusals and for the need for this to be evidenced by Occupational Therapist report / recommendation to be rephrased (as this may not be widely available to housing applicants)</w:t>
            </w:r>
          </w:p>
          <w:p w14:paraId="6043DCF4" w14:textId="77777777" w:rsidR="00735C62" w:rsidRPr="00614B4E" w:rsidRDefault="00735C62" w:rsidP="00735C62">
            <w:pPr>
              <w:pStyle w:val="ListParagraph"/>
              <w:numPr>
                <w:ilvl w:val="0"/>
                <w:numId w:val="29"/>
              </w:numPr>
              <w:autoSpaceDE/>
              <w:autoSpaceDN/>
              <w:adjustRightInd/>
              <w:snapToGrid/>
              <w:spacing w:after="0"/>
              <w:ind w:right="6"/>
              <w:contextualSpacing/>
              <w:rPr>
                <w:rFonts w:ascii="Calibri" w:hAnsi="Calibri" w:cs="Tahoma"/>
                <w:bCs/>
              </w:rPr>
            </w:pPr>
            <w:r>
              <w:rPr>
                <w:rFonts w:ascii="Calibri" w:hAnsi="Calibri" w:cs="Tahoma"/>
                <w:bCs/>
              </w:rPr>
              <w:t xml:space="preserve">It is also recommended that the Policy is kept under review for changes of tenancy type that may be introduced </w:t>
            </w:r>
            <w:proofErr w:type="gramStart"/>
            <w:r>
              <w:rPr>
                <w:rFonts w:ascii="Calibri" w:hAnsi="Calibri" w:cs="Tahoma"/>
                <w:bCs/>
              </w:rPr>
              <w:t>as a result of</w:t>
            </w:r>
            <w:proofErr w:type="gramEnd"/>
            <w:r>
              <w:rPr>
                <w:rFonts w:ascii="Calibri" w:hAnsi="Calibri" w:cs="Tahoma"/>
                <w:bCs/>
              </w:rPr>
              <w:t xml:space="preserve"> the Renters Rights Bill, currently in the parliamentary approval process, when confirmed as legislation and when commencement dates are known (conversion of all rented type tenancies to assured periodic type and removal of fixed terms).  Tenants that will be impacted by change of tenancy type should be informed at the earliest opportunity when this information is confirmed.</w:t>
            </w:r>
          </w:p>
        </w:tc>
      </w:tr>
    </w:tbl>
    <w:p w14:paraId="282014B7" w14:textId="77777777" w:rsidR="00735C62" w:rsidRDefault="00735C62" w:rsidP="00735C62"/>
    <w:p w14:paraId="46281E8E" w14:textId="77777777" w:rsidR="00B53207" w:rsidRPr="00202B66" w:rsidRDefault="00B53207" w:rsidP="00175CF8">
      <w:pPr>
        <w:spacing w:after="160" w:line="259" w:lineRule="auto"/>
        <w:contextualSpacing/>
      </w:pPr>
    </w:p>
    <w:sectPr w:rsidR="00B53207" w:rsidRPr="00202B66" w:rsidSect="00D32257">
      <w:headerReference w:type="first" r:id="rId13"/>
      <w:footerReference w:type="first" r:id="rId14"/>
      <w:pgSz w:w="11909" w:h="16834" w:code="9"/>
      <w:pgMar w:top="1440" w:right="1298" w:bottom="1009" w:left="1151" w:header="709" w:footer="709"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E8487" w14:textId="77777777" w:rsidR="00A83F67" w:rsidRDefault="00A83F67" w:rsidP="005E6320">
      <w:pPr>
        <w:spacing w:after="0"/>
      </w:pPr>
      <w:r>
        <w:separator/>
      </w:r>
    </w:p>
  </w:endnote>
  <w:endnote w:type="continuationSeparator" w:id="0">
    <w:p w14:paraId="6B6C5555" w14:textId="77777777" w:rsidR="00A83F67" w:rsidRDefault="00A83F67" w:rsidP="005E63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BB38" w14:textId="77777777" w:rsidR="00C874E2" w:rsidRDefault="00C87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17179" w14:textId="77777777" w:rsidR="00A83F67" w:rsidRDefault="00A83F67" w:rsidP="005E6320">
      <w:pPr>
        <w:spacing w:after="0"/>
      </w:pPr>
      <w:r>
        <w:separator/>
      </w:r>
    </w:p>
  </w:footnote>
  <w:footnote w:type="continuationSeparator" w:id="0">
    <w:p w14:paraId="5F95A0AD" w14:textId="77777777" w:rsidR="00A83F67" w:rsidRDefault="00A83F67" w:rsidP="005E63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5778" w14:textId="7596FA25" w:rsidR="00975BAC" w:rsidRDefault="00975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2DB9"/>
    <w:multiLevelType w:val="hybridMultilevel"/>
    <w:tmpl w:val="BCAA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40713"/>
    <w:multiLevelType w:val="hybridMultilevel"/>
    <w:tmpl w:val="C7AEF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C3409B"/>
    <w:multiLevelType w:val="hybridMultilevel"/>
    <w:tmpl w:val="C0B80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D2DAD"/>
    <w:multiLevelType w:val="hybridMultilevel"/>
    <w:tmpl w:val="E21CD63C"/>
    <w:lvl w:ilvl="0" w:tplc="229AF754">
      <w:numFmt w:val="bullet"/>
      <w:lvlText w:val=""/>
      <w:lvlJc w:val="left"/>
      <w:pPr>
        <w:tabs>
          <w:tab w:val="num" w:pos="720"/>
        </w:tabs>
        <w:ind w:left="720" w:hanging="360"/>
      </w:pPr>
      <w:rPr>
        <w:rFonts w:ascii="Symbol" w:eastAsia="Times New Roman"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B5EA5"/>
    <w:multiLevelType w:val="hybridMultilevel"/>
    <w:tmpl w:val="F2D68D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230394"/>
    <w:multiLevelType w:val="hybridMultilevel"/>
    <w:tmpl w:val="FFFFFFFF"/>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14EF36FE"/>
    <w:multiLevelType w:val="hybridMultilevel"/>
    <w:tmpl w:val="CBF870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394F71"/>
    <w:multiLevelType w:val="multilevel"/>
    <w:tmpl w:val="BAC6E84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6F6501"/>
    <w:multiLevelType w:val="hybridMultilevel"/>
    <w:tmpl w:val="0052C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795E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480C5B"/>
    <w:multiLevelType w:val="hybridMultilevel"/>
    <w:tmpl w:val="483A2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8C2B28"/>
    <w:multiLevelType w:val="hybridMultilevel"/>
    <w:tmpl w:val="DDA475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B1648D"/>
    <w:multiLevelType w:val="hybridMultilevel"/>
    <w:tmpl w:val="95346984"/>
    <w:lvl w:ilvl="0" w:tplc="0D8E688C">
      <w:start w:val="1"/>
      <w:numFmt w:val="lowerLetter"/>
      <w:pStyle w:val="NumberingNormalabc"/>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6F75BE1"/>
    <w:multiLevelType w:val="hybridMultilevel"/>
    <w:tmpl w:val="3DDC7A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6040E9"/>
    <w:multiLevelType w:val="multilevel"/>
    <w:tmpl w:val="39CC99D6"/>
    <w:lvl w:ilvl="0">
      <w:start w:val="1"/>
      <w:numFmt w:val="decimal"/>
      <w:lvlText w:val="%1."/>
      <w:lvlJc w:val="left"/>
      <w:pPr>
        <w:ind w:left="790" w:hanging="79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29D5010"/>
    <w:multiLevelType w:val="hybridMultilevel"/>
    <w:tmpl w:val="51B8879C"/>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F6238BE"/>
    <w:multiLevelType w:val="hybridMultilevel"/>
    <w:tmpl w:val="140A3D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BB2F0E"/>
    <w:multiLevelType w:val="hybridMultilevel"/>
    <w:tmpl w:val="BCB604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1CD65F1"/>
    <w:multiLevelType w:val="hybridMultilevel"/>
    <w:tmpl w:val="835CD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194CAC"/>
    <w:multiLevelType w:val="hybridMultilevel"/>
    <w:tmpl w:val="E1EA7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E53D49"/>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0F0C42"/>
    <w:multiLevelType w:val="hybridMultilevel"/>
    <w:tmpl w:val="B1B4F81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6DC48BE"/>
    <w:multiLevelType w:val="hybridMultilevel"/>
    <w:tmpl w:val="92D4390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69F47174"/>
    <w:multiLevelType w:val="hybridMultilevel"/>
    <w:tmpl w:val="DD720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D7C6C36"/>
    <w:multiLevelType w:val="multilevel"/>
    <w:tmpl w:val="92740B40"/>
    <w:lvl w:ilvl="0">
      <w:start w:val="1"/>
      <w:numFmt w:val="decimal"/>
      <w:pStyle w:val="NumberingNormal"/>
      <w:lvlText w:val="%1."/>
      <w:lvlJc w:val="left"/>
      <w:pPr>
        <w:ind w:left="0" w:hanging="360"/>
      </w:pPr>
      <w:rPr>
        <w:rFonts w:hint="default"/>
      </w:rPr>
    </w:lvl>
    <w:lvl w:ilvl="1">
      <w:start w:val="1"/>
      <w:numFmt w:val="decimal"/>
      <w:pStyle w:val="NumberingNor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5" w15:restartNumberingAfterBreak="0">
    <w:nsid w:val="751F7B80"/>
    <w:multiLevelType w:val="hybridMultilevel"/>
    <w:tmpl w:val="70BAF320"/>
    <w:lvl w:ilvl="0" w:tplc="AB80F0EC">
      <w:start w:val="1"/>
      <w:numFmt w:val="bullet"/>
      <w:pStyle w:val="ListParagraph"/>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6" w15:restartNumberingAfterBreak="0">
    <w:nsid w:val="7A5C7DF5"/>
    <w:multiLevelType w:val="hybridMultilevel"/>
    <w:tmpl w:val="E0B06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D556FD4"/>
    <w:multiLevelType w:val="hybridMultilevel"/>
    <w:tmpl w:val="13A60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A869CA"/>
    <w:multiLevelType w:val="hybridMultilevel"/>
    <w:tmpl w:val="967C9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32630472">
    <w:abstractNumId w:val="25"/>
  </w:num>
  <w:num w:numId="2" w16cid:durableId="440492704">
    <w:abstractNumId w:val="9"/>
  </w:num>
  <w:num w:numId="3" w16cid:durableId="1269965786">
    <w:abstractNumId w:val="24"/>
  </w:num>
  <w:num w:numId="4" w16cid:durableId="633995496">
    <w:abstractNumId w:val="12"/>
  </w:num>
  <w:num w:numId="5" w16cid:durableId="1716345462">
    <w:abstractNumId w:val="19"/>
  </w:num>
  <w:num w:numId="6" w16cid:durableId="2074237773">
    <w:abstractNumId w:val="20"/>
  </w:num>
  <w:num w:numId="7" w16cid:durableId="1437403109">
    <w:abstractNumId w:val="5"/>
  </w:num>
  <w:num w:numId="8" w16cid:durableId="2004157918">
    <w:abstractNumId w:val="14"/>
  </w:num>
  <w:num w:numId="9" w16cid:durableId="2127196312">
    <w:abstractNumId w:val="17"/>
  </w:num>
  <w:num w:numId="10" w16cid:durableId="1319531471">
    <w:abstractNumId w:val="7"/>
  </w:num>
  <w:num w:numId="11" w16cid:durableId="1425494359">
    <w:abstractNumId w:val="21"/>
  </w:num>
  <w:num w:numId="12" w16cid:durableId="1009068718">
    <w:abstractNumId w:val="6"/>
  </w:num>
  <w:num w:numId="13" w16cid:durableId="1322345802">
    <w:abstractNumId w:val="10"/>
  </w:num>
  <w:num w:numId="14" w16cid:durableId="1702590626">
    <w:abstractNumId w:val="13"/>
  </w:num>
  <w:num w:numId="15" w16cid:durableId="1591768715">
    <w:abstractNumId w:val="28"/>
  </w:num>
  <w:num w:numId="16" w16cid:durableId="691688536">
    <w:abstractNumId w:val="3"/>
  </w:num>
  <w:num w:numId="17" w16cid:durableId="712079265">
    <w:abstractNumId w:val="16"/>
  </w:num>
  <w:num w:numId="18" w16cid:durableId="1624506542">
    <w:abstractNumId w:val="15"/>
  </w:num>
  <w:num w:numId="19" w16cid:durableId="1693266461">
    <w:abstractNumId w:val="0"/>
  </w:num>
  <w:num w:numId="20" w16cid:durableId="183829509">
    <w:abstractNumId w:val="22"/>
  </w:num>
  <w:num w:numId="21" w16cid:durableId="108084784">
    <w:abstractNumId w:val="1"/>
  </w:num>
  <w:num w:numId="22" w16cid:durableId="2099592292">
    <w:abstractNumId w:val="26"/>
  </w:num>
  <w:num w:numId="23" w16cid:durableId="369455588">
    <w:abstractNumId w:val="2"/>
  </w:num>
  <w:num w:numId="24" w16cid:durableId="11221894">
    <w:abstractNumId w:val="18"/>
  </w:num>
  <w:num w:numId="25" w16cid:durableId="830147323">
    <w:abstractNumId w:val="11"/>
  </w:num>
  <w:num w:numId="26" w16cid:durableId="1619753259">
    <w:abstractNumId w:val="4"/>
  </w:num>
  <w:num w:numId="27" w16cid:durableId="17243854">
    <w:abstractNumId w:val="27"/>
  </w:num>
  <w:num w:numId="28" w16cid:durableId="2069574076">
    <w:abstractNumId w:val="23"/>
  </w:num>
  <w:num w:numId="29" w16cid:durableId="52193684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7/06/2024 11:31"/>
  </w:docVars>
  <w:rsids>
    <w:rsidRoot w:val="0049546F"/>
    <w:rsid w:val="00017CF7"/>
    <w:rsid w:val="00020E76"/>
    <w:rsid w:val="000269B5"/>
    <w:rsid w:val="000271C7"/>
    <w:rsid w:val="0004604A"/>
    <w:rsid w:val="000470D6"/>
    <w:rsid w:val="00050255"/>
    <w:rsid w:val="0005396A"/>
    <w:rsid w:val="00055810"/>
    <w:rsid w:val="000657B2"/>
    <w:rsid w:val="000663E3"/>
    <w:rsid w:val="000836D1"/>
    <w:rsid w:val="000870F7"/>
    <w:rsid w:val="000967C2"/>
    <w:rsid w:val="000A1A77"/>
    <w:rsid w:val="000A7D8D"/>
    <w:rsid w:val="000C40EF"/>
    <w:rsid w:val="000E76E1"/>
    <w:rsid w:val="000F053B"/>
    <w:rsid w:val="000F17DA"/>
    <w:rsid w:val="000F2C5B"/>
    <w:rsid w:val="00106680"/>
    <w:rsid w:val="00113CCE"/>
    <w:rsid w:val="00123A9B"/>
    <w:rsid w:val="0013568A"/>
    <w:rsid w:val="001367DF"/>
    <w:rsid w:val="00175CF8"/>
    <w:rsid w:val="001849A3"/>
    <w:rsid w:val="001857EB"/>
    <w:rsid w:val="00186C90"/>
    <w:rsid w:val="00192D38"/>
    <w:rsid w:val="001A3952"/>
    <w:rsid w:val="001C6220"/>
    <w:rsid w:val="001D4A09"/>
    <w:rsid w:val="001D7AE5"/>
    <w:rsid w:val="001E16F5"/>
    <w:rsid w:val="001E183B"/>
    <w:rsid w:val="001E6CFE"/>
    <w:rsid w:val="00201E38"/>
    <w:rsid w:val="00202B66"/>
    <w:rsid w:val="00212E92"/>
    <w:rsid w:val="0023248A"/>
    <w:rsid w:val="002327FB"/>
    <w:rsid w:val="00254BAE"/>
    <w:rsid w:val="00255841"/>
    <w:rsid w:val="00275E48"/>
    <w:rsid w:val="00283066"/>
    <w:rsid w:val="00294D4F"/>
    <w:rsid w:val="002B2C0A"/>
    <w:rsid w:val="002C4E5C"/>
    <w:rsid w:val="002D675D"/>
    <w:rsid w:val="002E6028"/>
    <w:rsid w:val="002E7F48"/>
    <w:rsid w:val="003060FA"/>
    <w:rsid w:val="00313030"/>
    <w:rsid w:val="00321B16"/>
    <w:rsid w:val="00326F30"/>
    <w:rsid w:val="0034386A"/>
    <w:rsid w:val="00343AB0"/>
    <w:rsid w:val="00356273"/>
    <w:rsid w:val="00361B6A"/>
    <w:rsid w:val="0037032F"/>
    <w:rsid w:val="0038744E"/>
    <w:rsid w:val="003A12C4"/>
    <w:rsid w:val="003B217E"/>
    <w:rsid w:val="003C1F12"/>
    <w:rsid w:val="003C21E8"/>
    <w:rsid w:val="003C3B92"/>
    <w:rsid w:val="003D22AA"/>
    <w:rsid w:val="003D5D6B"/>
    <w:rsid w:val="003F3588"/>
    <w:rsid w:val="00412A2A"/>
    <w:rsid w:val="00416819"/>
    <w:rsid w:val="004178EC"/>
    <w:rsid w:val="00432A0E"/>
    <w:rsid w:val="004435CD"/>
    <w:rsid w:val="00456E7F"/>
    <w:rsid w:val="0046402C"/>
    <w:rsid w:val="004745A6"/>
    <w:rsid w:val="00475A86"/>
    <w:rsid w:val="00494768"/>
    <w:rsid w:val="0049546F"/>
    <w:rsid w:val="004A48B8"/>
    <w:rsid w:val="004B084B"/>
    <w:rsid w:val="004C11BA"/>
    <w:rsid w:val="004D0742"/>
    <w:rsid w:val="004E64E2"/>
    <w:rsid w:val="004F48CA"/>
    <w:rsid w:val="00504B74"/>
    <w:rsid w:val="00522C29"/>
    <w:rsid w:val="00532054"/>
    <w:rsid w:val="00532CFC"/>
    <w:rsid w:val="00534309"/>
    <w:rsid w:val="00560EF3"/>
    <w:rsid w:val="00565979"/>
    <w:rsid w:val="0058565B"/>
    <w:rsid w:val="0059299C"/>
    <w:rsid w:val="0059646E"/>
    <w:rsid w:val="005A1088"/>
    <w:rsid w:val="005B1FA3"/>
    <w:rsid w:val="005B5403"/>
    <w:rsid w:val="005D61E2"/>
    <w:rsid w:val="005E6320"/>
    <w:rsid w:val="005F135C"/>
    <w:rsid w:val="00606321"/>
    <w:rsid w:val="00622EF3"/>
    <w:rsid w:val="00623B8D"/>
    <w:rsid w:val="00640FAE"/>
    <w:rsid w:val="00656A55"/>
    <w:rsid w:val="00656ADD"/>
    <w:rsid w:val="00656DF1"/>
    <w:rsid w:val="0069224E"/>
    <w:rsid w:val="00692F0B"/>
    <w:rsid w:val="006B1A1E"/>
    <w:rsid w:val="006B4E9C"/>
    <w:rsid w:val="006B6529"/>
    <w:rsid w:val="006D2A71"/>
    <w:rsid w:val="006E3B58"/>
    <w:rsid w:val="006E521B"/>
    <w:rsid w:val="00710302"/>
    <w:rsid w:val="00715E55"/>
    <w:rsid w:val="0072581C"/>
    <w:rsid w:val="007271C9"/>
    <w:rsid w:val="0072742C"/>
    <w:rsid w:val="00735C62"/>
    <w:rsid w:val="00736A20"/>
    <w:rsid w:val="00745B18"/>
    <w:rsid w:val="00753B07"/>
    <w:rsid w:val="00757FB2"/>
    <w:rsid w:val="007651C8"/>
    <w:rsid w:val="00765357"/>
    <w:rsid w:val="0077350C"/>
    <w:rsid w:val="00785649"/>
    <w:rsid w:val="007940FA"/>
    <w:rsid w:val="007B2AD5"/>
    <w:rsid w:val="007B3ADE"/>
    <w:rsid w:val="007C5A7C"/>
    <w:rsid w:val="007C7125"/>
    <w:rsid w:val="007D0969"/>
    <w:rsid w:val="007D6E32"/>
    <w:rsid w:val="007E054A"/>
    <w:rsid w:val="007E57D3"/>
    <w:rsid w:val="007E5D67"/>
    <w:rsid w:val="007F7502"/>
    <w:rsid w:val="0081029A"/>
    <w:rsid w:val="00834E9F"/>
    <w:rsid w:val="008558D8"/>
    <w:rsid w:val="008631C1"/>
    <w:rsid w:val="008704E9"/>
    <w:rsid w:val="00882752"/>
    <w:rsid w:val="00887915"/>
    <w:rsid w:val="008A6BDE"/>
    <w:rsid w:val="008B3688"/>
    <w:rsid w:val="008B38C0"/>
    <w:rsid w:val="008B7E4A"/>
    <w:rsid w:val="008C0A83"/>
    <w:rsid w:val="008C200D"/>
    <w:rsid w:val="008D4D65"/>
    <w:rsid w:val="008F3A75"/>
    <w:rsid w:val="00901E37"/>
    <w:rsid w:val="00910F63"/>
    <w:rsid w:val="0091291A"/>
    <w:rsid w:val="00916510"/>
    <w:rsid w:val="00937583"/>
    <w:rsid w:val="00940864"/>
    <w:rsid w:val="00952BE3"/>
    <w:rsid w:val="0096199E"/>
    <w:rsid w:val="009627C0"/>
    <w:rsid w:val="00964BEC"/>
    <w:rsid w:val="00975BAC"/>
    <w:rsid w:val="009B0C8A"/>
    <w:rsid w:val="009B12B5"/>
    <w:rsid w:val="009B6BBA"/>
    <w:rsid w:val="009E6F17"/>
    <w:rsid w:val="00A1477D"/>
    <w:rsid w:val="00A32BA6"/>
    <w:rsid w:val="00A37A08"/>
    <w:rsid w:val="00A408FB"/>
    <w:rsid w:val="00A46C60"/>
    <w:rsid w:val="00A506D9"/>
    <w:rsid w:val="00A5583D"/>
    <w:rsid w:val="00A558AA"/>
    <w:rsid w:val="00A676C8"/>
    <w:rsid w:val="00A820B2"/>
    <w:rsid w:val="00A83F67"/>
    <w:rsid w:val="00A90126"/>
    <w:rsid w:val="00A90450"/>
    <w:rsid w:val="00AB39EF"/>
    <w:rsid w:val="00AB6051"/>
    <w:rsid w:val="00AD10D4"/>
    <w:rsid w:val="00AD3D18"/>
    <w:rsid w:val="00AE67AC"/>
    <w:rsid w:val="00B0202D"/>
    <w:rsid w:val="00B16D4A"/>
    <w:rsid w:val="00B364D3"/>
    <w:rsid w:val="00B479DC"/>
    <w:rsid w:val="00B51585"/>
    <w:rsid w:val="00B51FAD"/>
    <w:rsid w:val="00B53207"/>
    <w:rsid w:val="00B7189F"/>
    <w:rsid w:val="00B72C12"/>
    <w:rsid w:val="00B77667"/>
    <w:rsid w:val="00B871BF"/>
    <w:rsid w:val="00B978DF"/>
    <w:rsid w:val="00BE7DA4"/>
    <w:rsid w:val="00BF4797"/>
    <w:rsid w:val="00C118D1"/>
    <w:rsid w:val="00C13CB5"/>
    <w:rsid w:val="00C14DA9"/>
    <w:rsid w:val="00C3154D"/>
    <w:rsid w:val="00C43F37"/>
    <w:rsid w:val="00C51F51"/>
    <w:rsid w:val="00C62EE7"/>
    <w:rsid w:val="00C6528F"/>
    <w:rsid w:val="00C70520"/>
    <w:rsid w:val="00C748C0"/>
    <w:rsid w:val="00C874E2"/>
    <w:rsid w:val="00C91111"/>
    <w:rsid w:val="00C92EC1"/>
    <w:rsid w:val="00CA42F7"/>
    <w:rsid w:val="00CB56E4"/>
    <w:rsid w:val="00CC4E45"/>
    <w:rsid w:val="00CE65E5"/>
    <w:rsid w:val="00CF1C23"/>
    <w:rsid w:val="00CF3E78"/>
    <w:rsid w:val="00D01CB0"/>
    <w:rsid w:val="00D02770"/>
    <w:rsid w:val="00D11C39"/>
    <w:rsid w:val="00D25269"/>
    <w:rsid w:val="00D32257"/>
    <w:rsid w:val="00D4761E"/>
    <w:rsid w:val="00D61BEF"/>
    <w:rsid w:val="00D6252E"/>
    <w:rsid w:val="00D71D62"/>
    <w:rsid w:val="00D73A21"/>
    <w:rsid w:val="00D855AA"/>
    <w:rsid w:val="00D9240C"/>
    <w:rsid w:val="00DB12C0"/>
    <w:rsid w:val="00DB7EE4"/>
    <w:rsid w:val="00DC672E"/>
    <w:rsid w:val="00DD66E8"/>
    <w:rsid w:val="00DD6AA4"/>
    <w:rsid w:val="00DE0C23"/>
    <w:rsid w:val="00E01EF3"/>
    <w:rsid w:val="00E04322"/>
    <w:rsid w:val="00E04986"/>
    <w:rsid w:val="00E130E2"/>
    <w:rsid w:val="00E176D2"/>
    <w:rsid w:val="00E35B07"/>
    <w:rsid w:val="00E40FEF"/>
    <w:rsid w:val="00E432E7"/>
    <w:rsid w:val="00E47A9F"/>
    <w:rsid w:val="00E7454A"/>
    <w:rsid w:val="00EA44BB"/>
    <w:rsid w:val="00EA7F39"/>
    <w:rsid w:val="00EB6D84"/>
    <w:rsid w:val="00EE65B1"/>
    <w:rsid w:val="00EF0C87"/>
    <w:rsid w:val="00EF2781"/>
    <w:rsid w:val="00F21C9F"/>
    <w:rsid w:val="00F33A2E"/>
    <w:rsid w:val="00F44292"/>
    <w:rsid w:val="00F67F9B"/>
    <w:rsid w:val="00F73802"/>
    <w:rsid w:val="00F77788"/>
    <w:rsid w:val="00F9122F"/>
    <w:rsid w:val="00F92EEE"/>
    <w:rsid w:val="00FB0F40"/>
    <w:rsid w:val="00FB335C"/>
    <w:rsid w:val="00FB6251"/>
    <w:rsid w:val="00FD558D"/>
    <w:rsid w:val="00FE4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63215"/>
  <w15:chartTrackingRefBased/>
  <w15:docId w15:val="{EEAB207F-7128-3348-9448-7F5C4678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403"/>
    <w:pPr>
      <w:spacing w:after="240"/>
    </w:pPr>
  </w:style>
  <w:style w:type="paragraph" w:styleId="Heading1">
    <w:name w:val="heading 1"/>
    <w:basedOn w:val="Normal"/>
    <w:next w:val="Normal"/>
    <w:link w:val="Heading1Char"/>
    <w:qFormat/>
    <w:rsid w:val="00C62EE7"/>
    <w:pPr>
      <w:keepNext/>
      <w:keepLines/>
      <w:spacing w:before="240"/>
      <w:outlineLvl w:val="0"/>
    </w:pPr>
    <w:rPr>
      <w:rFonts w:asciiTheme="majorHAnsi" w:eastAsiaTheme="majorEastAsia" w:hAnsiTheme="majorHAnsi" w:cstheme="majorBidi"/>
      <w:b/>
      <w:color w:val="0078A9" w:themeColor="accent1"/>
      <w:sz w:val="60"/>
      <w:szCs w:val="60"/>
    </w:rPr>
  </w:style>
  <w:style w:type="paragraph" w:styleId="Heading2">
    <w:name w:val="heading 2"/>
    <w:basedOn w:val="Normal"/>
    <w:next w:val="Normal"/>
    <w:link w:val="Heading2Char"/>
    <w:uiPriority w:val="9"/>
    <w:unhideWhenUsed/>
    <w:qFormat/>
    <w:rsid w:val="00E130E2"/>
    <w:pPr>
      <w:keepNext/>
      <w:keepLines/>
      <w:spacing w:before="240" w:after="120"/>
      <w:outlineLvl w:val="1"/>
    </w:pPr>
    <w:rPr>
      <w:rFonts w:asciiTheme="majorHAnsi" w:eastAsiaTheme="majorEastAsia" w:hAnsiTheme="majorHAnsi" w:cstheme="majorBidi"/>
      <w:color w:val="0078A9" w:themeColor="accent1"/>
      <w:sz w:val="40"/>
      <w:szCs w:val="40"/>
    </w:rPr>
  </w:style>
  <w:style w:type="paragraph" w:styleId="Heading3">
    <w:name w:val="heading 3"/>
    <w:basedOn w:val="Normal"/>
    <w:next w:val="Normal"/>
    <w:link w:val="Heading3Char"/>
    <w:uiPriority w:val="9"/>
    <w:unhideWhenUsed/>
    <w:qFormat/>
    <w:rsid w:val="00E130E2"/>
    <w:pPr>
      <w:keepNext/>
      <w:keepLines/>
      <w:spacing w:before="40" w:after="120"/>
      <w:outlineLvl w:val="2"/>
    </w:pPr>
    <w:rPr>
      <w:rFonts w:eastAsiaTheme="majorEastAsia" w:cstheme="majorBidi"/>
      <w:b/>
      <w:bCs/>
      <w:color w:val="0078A9" w:themeColor="accent1"/>
      <w:sz w:val="28"/>
      <w:szCs w:val="28"/>
    </w:rPr>
  </w:style>
  <w:style w:type="paragraph" w:styleId="Heading4">
    <w:name w:val="heading 4"/>
    <w:basedOn w:val="Normal"/>
    <w:next w:val="Normal"/>
    <w:link w:val="Heading4Char"/>
    <w:uiPriority w:val="9"/>
    <w:unhideWhenUsed/>
    <w:qFormat/>
    <w:rsid w:val="00E130E2"/>
    <w:pPr>
      <w:keepNext/>
      <w:keepLines/>
      <w:spacing w:before="40" w:after="0"/>
      <w:outlineLvl w:val="3"/>
    </w:pPr>
    <w:rPr>
      <w:rFonts w:eastAsiaTheme="majorEastAsia" w:cstheme="majorBidi"/>
      <w:bCs/>
      <w:color w:val="0078A9" w:themeColor="accent1"/>
      <w:sz w:val="28"/>
      <w:szCs w:val="28"/>
    </w:rPr>
  </w:style>
  <w:style w:type="paragraph" w:styleId="Heading5">
    <w:name w:val="heading 5"/>
    <w:basedOn w:val="Normal"/>
    <w:next w:val="Normal"/>
    <w:link w:val="Heading5Char"/>
    <w:uiPriority w:val="9"/>
    <w:unhideWhenUsed/>
    <w:qFormat/>
    <w:rsid w:val="00E130E2"/>
    <w:pPr>
      <w:keepNext/>
      <w:keepLines/>
      <w:spacing w:before="40" w:after="0"/>
      <w:outlineLvl w:val="4"/>
    </w:pPr>
    <w:rPr>
      <w:rFonts w:asciiTheme="majorHAnsi" w:eastAsiaTheme="majorEastAsia" w:hAnsiTheme="majorHAnsi" w:cstheme="majorBidi"/>
      <w:color w:val="00597E" w:themeColor="accent1" w:themeShade="BF"/>
    </w:rPr>
  </w:style>
  <w:style w:type="paragraph" w:styleId="Heading6">
    <w:name w:val="heading 6"/>
    <w:basedOn w:val="Normal"/>
    <w:next w:val="Normal"/>
    <w:link w:val="Heading6Char"/>
    <w:uiPriority w:val="9"/>
    <w:semiHidden/>
    <w:unhideWhenUsed/>
    <w:qFormat/>
    <w:rsid w:val="00E130E2"/>
    <w:pPr>
      <w:keepNext/>
      <w:keepLines/>
      <w:spacing w:before="40" w:after="0"/>
      <w:outlineLvl w:val="5"/>
    </w:pPr>
    <w:rPr>
      <w:rFonts w:asciiTheme="majorHAnsi" w:eastAsiaTheme="majorEastAsia" w:hAnsiTheme="majorHAnsi" w:cstheme="majorBidi"/>
      <w:color w:val="003B54" w:themeColor="accent1" w:themeShade="7F"/>
    </w:rPr>
  </w:style>
  <w:style w:type="paragraph" w:styleId="Heading7">
    <w:name w:val="heading 7"/>
    <w:basedOn w:val="Normal"/>
    <w:next w:val="Normal"/>
    <w:link w:val="Heading7Char"/>
    <w:uiPriority w:val="9"/>
    <w:semiHidden/>
    <w:unhideWhenUsed/>
    <w:qFormat/>
    <w:rsid w:val="00E130E2"/>
    <w:pPr>
      <w:keepNext/>
      <w:keepLines/>
      <w:spacing w:before="40" w:after="0"/>
      <w:outlineLvl w:val="6"/>
    </w:pPr>
    <w:rPr>
      <w:rFonts w:asciiTheme="majorHAnsi" w:eastAsiaTheme="majorEastAsia" w:hAnsiTheme="majorHAnsi" w:cstheme="majorBidi"/>
      <w:i/>
      <w:iCs/>
      <w:color w:val="003B54" w:themeColor="accent1" w:themeShade="7F"/>
    </w:rPr>
  </w:style>
  <w:style w:type="paragraph" w:styleId="Heading8">
    <w:name w:val="heading 8"/>
    <w:basedOn w:val="Normal"/>
    <w:next w:val="Normal"/>
    <w:link w:val="Heading8Char"/>
    <w:uiPriority w:val="9"/>
    <w:semiHidden/>
    <w:unhideWhenUsed/>
    <w:qFormat/>
    <w:rsid w:val="00E130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30E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2EE7"/>
    <w:rPr>
      <w:rFonts w:asciiTheme="majorHAnsi" w:eastAsiaTheme="majorEastAsia" w:hAnsiTheme="majorHAnsi" w:cstheme="majorBidi"/>
      <w:b/>
      <w:color w:val="0078A9" w:themeColor="accent1"/>
      <w:sz w:val="60"/>
      <w:szCs w:val="60"/>
    </w:rPr>
  </w:style>
  <w:style w:type="character" w:customStyle="1" w:styleId="Heading2Char">
    <w:name w:val="Heading 2 Char"/>
    <w:basedOn w:val="DefaultParagraphFont"/>
    <w:link w:val="Heading2"/>
    <w:uiPriority w:val="9"/>
    <w:rsid w:val="00432A0E"/>
    <w:rPr>
      <w:rFonts w:asciiTheme="majorHAnsi" w:eastAsiaTheme="majorEastAsia" w:hAnsiTheme="majorHAnsi" w:cstheme="majorBidi"/>
      <w:color w:val="0078A9" w:themeColor="accent1"/>
      <w:sz w:val="40"/>
      <w:szCs w:val="40"/>
    </w:rPr>
  </w:style>
  <w:style w:type="paragraph" w:styleId="ListParagraph">
    <w:name w:val="List Paragraph"/>
    <w:basedOn w:val="Normal"/>
    <w:uiPriority w:val="34"/>
    <w:qFormat/>
    <w:rsid w:val="00A90450"/>
    <w:pPr>
      <w:numPr>
        <w:numId w:val="1"/>
      </w:numPr>
      <w:autoSpaceDE w:val="0"/>
      <w:autoSpaceDN w:val="0"/>
      <w:adjustRightInd w:val="0"/>
      <w:snapToGrid w:val="0"/>
      <w:spacing w:after="120"/>
      <w:ind w:left="714" w:hanging="357"/>
    </w:pPr>
    <w:rPr>
      <w:rFonts w:cs="Arial"/>
    </w:rPr>
  </w:style>
  <w:style w:type="table" w:styleId="TableGrid">
    <w:name w:val="Table Grid"/>
    <w:basedOn w:val="TableNormal"/>
    <w:uiPriority w:val="59"/>
    <w:rsid w:val="005E632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E6320"/>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E6320"/>
    <w:rPr>
      <w:rFonts w:eastAsiaTheme="minorEastAsia"/>
      <w:color w:val="5A5A5A" w:themeColor="text1" w:themeTint="A5"/>
      <w:spacing w:val="15"/>
      <w:sz w:val="22"/>
      <w:szCs w:val="22"/>
    </w:rPr>
  </w:style>
  <w:style w:type="paragraph" w:styleId="Header">
    <w:name w:val="header"/>
    <w:basedOn w:val="Normal"/>
    <w:link w:val="HeaderChar"/>
    <w:unhideWhenUsed/>
    <w:rsid w:val="005E6320"/>
    <w:pPr>
      <w:tabs>
        <w:tab w:val="center" w:pos="4513"/>
        <w:tab w:val="right" w:pos="9026"/>
      </w:tabs>
    </w:pPr>
  </w:style>
  <w:style w:type="character" w:customStyle="1" w:styleId="HeaderChar">
    <w:name w:val="Header Char"/>
    <w:basedOn w:val="DefaultParagraphFont"/>
    <w:link w:val="Header"/>
    <w:rsid w:val="005E6320"/>
  </w:style>
  <w:style w:type="paragraph" w:styleId="Footer">
    <w:name w:val="footer"/>
    <w:basedOn w:val="Normal"/>
    <w:link w:val="FooterChar"/>
    <w:unhideWhenUsed/>
    <w:rsid w:val="005E6320"/>
    <w:pPr>
      <w:tabs>
        <w:tab w:val="center" w:pos="4513"/>
        <w:tab w:val="right" w:pos="9026"/>
      </w:tabs>
    </w:pPr>
  </w:style>
  <w:style w:type="character" w:customStyle="1" w:styleId="FooterChar">
    <w:name w:val="Footer Char"/>
    <w:basedOn w:val="DefaultParagraphFont"/>
    <w:link w:val="Footer"/>
    <w:rsid w:val="005E6320"/>
  </w:style>
  <w:style w:type="paragraph" w:styleId="NoSpacing">
    <w:name w:val="No Spacing"/>
    <w:link w:val="NoSpacingChar"/>
    <w:uiPriority w:val="1"/>
    <w:qFormat/>
    <w:rsid w:val="00050255"/>
    <w:rPr>
      <w:rFonts w:eastAsiaTheme="minorEastAsia"/>
      <w:sz w:val="22"/>
      <w:szCs w:val="22"/>
      <w:lang w:val="en-US" w:eastAsia="zh-CN"/>
    </w:rPr>
  </w:style>
  <w:style w:type="character" w:customStyle="1" w:styleId="NoSpacingChar">
    <w:name w:val="No Spacing Char"/>
    <w:basedOn w:val="DefaultParagraphFont"/>
    <w:link w:val="NoSpacing"/>
    <w:uiPriority w:val="1"/>
    <w:rsid w:val="00050255"/>
    <w:rPr>
      <w:rFonts w:eastAsiaTheme="minorEastAsia"/>
      <w:sz w:val="22"/>
      <w:szCs w:val="22"/>
      <w:lang w:val="en-US" w:eastAsia="zh-CN"/>
    </w:rPr>
  </w:style>
  <w:style w:type="character" w:styleId="SubtleReference">
    <w:name w:val="Subtle Reference"/>
    <w:basedOn w:val="DefaultParagraphFont"/>
    <w:uiPriority w:val="31"/>
    <w:qFormat/>
    <w:rsid w:val="00B871BF"/>
    <w:rPr>
      <w:smallCaps/>
      <w:color w:val="5A5A5A" w:themeColor="text1" w:themeTint="A5"/>
    </w:rPr>
  </w:style>
  <w:style w:type="character" w:styleId="IntenseReference">
    <w:name w:val="Intense Reference"/>
    <w:basedOn w:val="DefaultParagraphFont"/>
    <w:uiPriority w:val="32"/>
    <w:qFormat/>
    <w:rsid w:val="00B871BF"/>
    <w:rPr>
      <w:b/>
      <w:bCs/>
      <w:caps/>
      <w:smallCaps w:val="0"/>
      <w:color w:val="0078A9" w:themeColor="accent1"/>
      <w:spacing w:val="5"/>
    </w:rPr>
  </w:style>
  <w:style w:type="paragraph" w:styleId="Title">
    <w:name w:val="Title"/>
    <w:basedOn w:val="Normal"/>
    <w:next w:val="Normal"/>
    <w:link w:val="TitleChar"/>
    <w:qFormat/>
    <w:rsid w:val="00326F30"/>
    <w:pPr>
      <w:spacing w:after="0"/>
      <w:contextualSpacing/>
    </w:pPr>
    <w:rPr>
      <w:rFonts w:asciiTheme="majorHAnsi" w:eastAsiaTheme="majorEastAsia" w:hAnsiTheme="majorHAnsi" w:cstheme="majorBidi"/>
      <w:spacing w:val="-10"/>
      <w:kern w:val="28"/>
      <w:sz w:val="72"/>
      <w:szCs w:val="56"/>
    </w:rPr>
  </w:style>
  <w:style w:type="character" w:customStyle="1" w:styleId="TitleChar">
    <w:name w:val="Title Char"/>
    <w:basedOn w:val="DefaultParagraphFont"/>
    <w:link w:val="Title"/>
    <w:rsid w:val="00326F30"/>
    <w:rPr>
      <w:rFonts w:asciiTheme="majorHAnsi" w:eastAsiaTheme="majorEastAsia" w:hAnsiTheme="majorHAnsi" w:cstheme="majorBidi"/>
      <w:spacing w:val="-10"/>
      <w:kern w:val="28"/>
      <w:sz w:val="72"/>
      <w:szCs w:val="56"/>
    </w:rPr>
  </w:style>
  <w:style w:type="character" w:styleId="SubtleEmphasis">
    <w:name w:val="Subtle Emphasis"/>
    <w:basedOn w:val="DefaultParagraphFont"/>
    <w:uiPriority w:val="19"/>
    <w:qFormat/>
    <w:rsid w:val="0034386A"/>
    <w:rPr>
      <w:i/>
      <w:iCs/>
      <w:color w:val="404040" w:themeColor="text1" w:themeTint="BF"/>
    </w:rPr>
  </w:style>
  <w:style w:type="character" w:styleId="PageNumber">
    <w:name w:val="page number"/>
    <w:basedOn w:val="DefaultParagraphFont"/>
    <w:semiHidden/>
    <w:unhideWhenUsed/>
    <w:rsid w:val="00B364D3"/>
  </w:style>
  <w:style w:type="paragraph" w:customStyle="1" w:styleId="Title-pagehead">
    <w:name w:val="Title - page head"/>
    <w:basedOn w:val="Normal"/>
    <w:qFormat/>
    <w:rsid w:val="00715E55"/>
    <w:rPr>
      <w:rFonts w:cs="Times New Roman (Body CS)"/>
      <w:caps/>
      <w:noProof/>
      <w:color w:val="0078A9" w:themeColor="accent1"/>
      <w:spacing w:val="60"/>
      <w:sz w:val="20"/>
      <w:szCs w:val="20"/>
    </w:rPr>
  </w:style>
  <w:style w:type="paragraph" w:styleId="FootnoteText">
    <w:name w:val="footnote text"/>
    <w:basedOn w:val="Normal"/>
    <w:link w:val="FootnoteTextChar"/>
    <w:semiHidden/>
    <w:rsid w:val="00326F30"/>
    <w:pPr>
      <w:spacing w:after="0"/>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326F30"/>
    <w:rPr>
      <w:rFonts w:ascii="Times New Roman" w:eastAsia="Times New Roman" w:hAnsi="Times New Roman" w:cs="Times New Roman"/>
      <w:sz w:val="20"/>
      <w:szCs w:val="20"/>
      <w:lang w:eastAsia="en-GB"/>
    </w:rPr>
  </w:style>
  <w:style w:type="character" w:styleId="FootnoteReference">
    <w:name w:val="footnote reference"/>
    <w:semiHidden/>
    <w:rsid w:val="00326F30"/>
    <w:rPr>
      <w:vertAlign w:val="superscript"/>
    </w:rPr>
  </w:style>
  <w:style w:type="character" w:styleId="Hyperlink">
    <w:name w:val="Hyperlink"/>
    <w:uiPriority w:val="99"/>
    <w:rsid w:val="00326F30"/>
    <w:rPr>
      <w:color w:val="0000FF"/>
      <w:u w:val="single"/>
    </w:rPr>
  </w:style>
  <w:style w:type="paragraph" w:styleId="TOC1">
    <w:name w:val="toc 1"/>
    <w:basedOn w:val="Normal"/>
    <w:next w:val="Normal"/>
    <w:autoRedefine/>
    <w:uiPriority w:val="39"/>
    <w:rsid w:val="00326F30"/>
    <w:pPr>
      <w:spacing w:before="120" w:after="0"/>
    </w:pPr>
    <w:rPr>
      <w:rFonts w:cstheme="minorHAnsi"/>
      <w:b/>
      <w:bCs/>
      <w:i/>
      <w:iCs/>
    </w:rPr>
  </w:style>
  <w:style w:type="character" w:styleId="Strong">
    <w:name w:val="Strong"/>
    <w:uiPriority w:val="22"/>
    <w:qFormat/>
    <w:rsid w:val="00326F30"/>
    <w:rPr>
      <w:b/>
      <w:bCs/>
    </w:rPr>
  </w:style>
  <w:style w:type="paragraph" w:customStyle="1" w:styleId="Default">
    <w:name w:val="Default"/>
    <w:rsid w:val="00326F30"/>
    <w:pPr>
      <w:autoSpaceDE w:val="0"/>
      <w:autoSpaceDN w:val="0"/>
      <w:adjustRightInd w:val="0"/>
    </w:pPr>
    <w:rPr>
      <w:rFonts w:ascii="Arial" w:eastAsia="Times New Roman" w:hAnsi="Arial" w:cs="Arial"/>
      <w:color w:val="000000"/>
      <w:lang w:eastAsia="en-GB"/>
    </w:rPr>
  </w:style>
  <w:style w:type="character" w:styleId="CommentReference">
    <w:name w:val="annotation reference"/>
    <w:basedOn w:val="DefaultParagraphFont"/>
    <w:uiPriority w:val="99"/>
    <w:semiHidden/>
    <w:unhideWhenUsed/>
    <w:rsid w:val="00326F30"/>
    <w:rPr>
      <w:sz w:val="16"/>
      <w:szCs w:val="16"/>
    </w:rPr>
  </w:style>
  <w:style w:type="paragraph" w:styleId="CommentText">
    <w:name w:val="annotation text"/>
    <w:basedOn w:val="Normal"/>
    <w:link w:val="CommentTextChar"/>
    <w:uiPriority w:val="99"/>
    <w:unhideWhenUsed/>
    <w:rsid w:val="00326F30"/>
    <w:pPr>
      <w:spacing w:after="0"/>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326F3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26F30"/>
    <w:pPr>
      <w:spacing w:after="0"/>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326F30"/>
    <w:rPr>
      <w:rFonts w:ascii="Segoe UI" w:eastAsia="Times New Roman" w:hAnsi="Segoe UI" w:cs="Segoe UI"/>
      <w:sz w:val="18"/>
      <w:szCs w:val="18"/>
      <w:lang w:eastAsia="en-GB"/>
    </w:rPr>
  </w:style>
  <w:style w:type="paragraph" w:styleId="NormalWeb">
    <w:name w:val="Normal (Web)"/>
    <w:basedOn w:val="Normal"/>
    <w:uiPriority w:val="99"/>
    <w:rsid w:val="00326F30"/>
    <w:pPr>
      <w:spacing w:before="100" w:beforeAutospacing="1" w:after="0"/>
    </w:pPr>
    <w:rPr>
      <w:rFonts w:ascii="Arial Unicode MS" w:eastAsia="Arial Unicode MS" w:hAnsi="Arial Unicode MS" w:cs="Arial Unicode MS"/>
    </w:rPr>
  </w:style>
  <w:style w:type="paragraph" w:styleId="TOCHeading">
    <w:name w:val="TOC Heading"/>
    <w:basedOn w:val="Heading1"/>
    <w:next w:val="Normal"/>
    <w:uiPriority w:val="39"/>
    <w:unhideWhenUsed/>
    <w:qFormat/>
    <w:rsid w:val="00326F30"/>
    <w:pPr>
      <w:spacing w:before="480" w:after="0" w:line="276" w:lineRule="auto"/>
      <w:outlineLvl w:val="9"/>
    </w:pPr>
    <w:rPr>
      <w:bCs/>
      <w:color w:val="00597E" w:themeColor="accent1" w:themeShade="BF"/>
      <w:sz w:val="28"/>
      <w:szCs w:val="28"/>
      <w:lang w:val="en-US"/>
    </w:rPr>
  </w:style>
  <w:style w:type="paragraph" w:styleId="TOC2">
    <w:name w:val="toc 2"/>
    <w:basedOn w:val="Normal"/>
    <w:next w:val="Normal"/>
    <w:autoRedefine/>
    <w:uiPriority w:val="39"/>
    <w:unhideWhenUsed/>
    <w:rsid w:val="00326F30"/>
    <w:pPr>
      <w:spacing w:before="120" w:after="0"/>
      <w:ind w:left="240"/>
    </w:pPr>
    <w:rPr>
      <w:rFonts w:cstheme="minorHAnsi"/>
      <w:b/>
      <w:bCs/>
      <w:sz w:val="22"/>
      <w:szCs w:val="22"/>
    </w:rPr>
  </w:style>
  <w:style w:type="paragraph" w:styleId="TOC3">
    <w:name w:val="toc 3"/>
    <w:basedOn w:val="Normal"/>
    <w:next w:val="Normal"/>
    <w:autoRedefine/>
    <w:uiPriority w:val="39"/>
    <w:unhideWhenUsed/>
    <w:rsid w:val="00326F30"/>
    <w:pPr>
      <w:spacing w:after="0"/>
      <w:ind w:left="480"/>
    </w:pPr>
    <w:rPr>
      <w:rFonts w:cstheme="minorHAnsi"/>
      <w:sz w:val="20"/>
      <w:szCs w:val="20"/>
    </w:rPr>
  </w:style>
  <w:style w:type="paragraph" w:styleId="TOC4">
    <w:name w:val="toc 4"/>
    <w:basedOn w:val="Normal"/>
    <w:next w:val="Normal"/>
    <w:autoRedefine/>
    <w:uiPriority w:val="39"/>
    <w:semiHidden/>
    <w:unhideWhenUsed/>
    <w:rsid w:val="00326F30"/>
    <w:pPr>
      <w:spacing w:after="0"/>
      <w:ind w:left="720"/>
    </w:pPr>
    <w:rPr>
      <w:rFonts w:cstheme="minorHAnsi"/>
      <w:sz w:val="20"/>
      <w:szCs w:val="20"/>
    </w:rPr>
  </w:style>
  <w:style w:type="paragraph" w:styleId="TOC5">
    <w:name w:val="toc 5"/>
    <w:basedOn w:val="Normal"/>
    <w:next w:val="Normal"/>
    <w:autoRedefine/>
    <w:uiPriority w:val="39"/>
    <w:semiHidden/>
    <w:unhideWhenUsed/>
    <w:rsid w:val="00326F30"/>
    <w:pPr>
      <w:spacing w:after="0"/>
      <w:ind w:left="960"/>
    </w:pPr>
    <w:rPr>
      <w:rFonts w:cstheme="minorHAnsi"/>
      <w:sz w:val="20"/>
      <w:szCs w:val="20"/>
    </w:rPr>
  </w:style>
  <w:style w:type="paragraph" w:styleId="TOC6">
    <w:name w:val="toc 6"/>
    <w:basedOn w:val="Normal"/>
    <w:next w:val="Normal"/>
    <w:autoRedefine/>
    <w:uiPriority w:val="39"/>
    <w:semiHidden/>
    <w:unhideWhenUsed/>
    <w:rsid w:val="00326F30"/>
    <w:pPr>
      <w:spacing w:after="0"/>
      <w:ind w:left="1200"/>
    </w:pPr>
    <w:rPr>
      <w:rFonts w:cstheme="minorHAnsi"/>
      <w:sz w:val="20"/>
      <w:szCs w:val="20"/>
    </w:rPr>
  </w:style>
  <w:style w:type="paragraph" w:styleId="TOC7">
    <w:name w:val="toc 7"/>
    <w:basedOn w:val="Normal"/>
    <w:next w:val="Normal"/>
    <w:autoRedefine/>
    <w:uiPriority w:val="39"/>
    <w:semiHidden/>
    <w:unhideWhenUsed/>
    <w:rsid w:val="00326F30"/>
    <w:pPr>
      <w:spacing w:after="0"/>
      <w:ind w:left="1440"/>
    </w:pPr>
    <w:rPr>
      <w:rFonts w:cstheme="minorHAnsi"/>
      <w:sz w:val="20"/>
      <w:szCs w:val="20"/>
    </w:rPr>
  </w:style>
  <w:style w:type="paragraph" w:styleId="TOC8">
    <w:name w:val="toc 8"/>
    <w:basedOn w:val="Normal"/>
    <w:next w:val="Normal"/>
    <w:autoRedefine/>
    <w:uiPriority w:val="39"/>
    <w:semiHidden/>
    <w:unhideWhenUsed/>
    <w:rsid w:val="00326F30"/>
    <w:pPr>
      <w:spacing w:after="0"/>
      <w:ind w:left="1680"/>
    </w:pPr>
    <w:rPr>
      <w:rFonts w:cstheme="minorHAnsi"/>
      <w:sz w:val="20"/>
      <w:szCs w:val="20"/>
    </w:rPr>
  </w:style>
  <w:style w:type="paragraph" w:styleId="TOC9">
    <w:name w:val="toc 9"/>
    <w:basedOn w:val="Normal"/>
    <w:next w:val="Normal"/>
    <w:autoRedefine/>
    <w:uiPriority w:val="39"/>
    <w:semiHidden/>
    <w:unhideWhenUsed/>
    <w:rsid w:val="00326F30"/>
    <w:pPr>
      <w:spacing w:after="0"/>
      <w:ind w:left="1920"/>
    </w:pPr>
    <w:rPr>
      <w:rFonts w:cstheme="minorHAnsi"/>
      <w:sz w:val="20"/>
      <w:szCs w:val="20"/>
    </w:rPr>
  </w:style>
  <w:style w:type="character" w:customStyle="1" w:styleId="Heading3Char">
    <w:name w:val="Heading 3 Char"/>
    <w:basedOn w:val="DefaultParagraphFont"/>
    <w:link w:val="Heading3"/>
    <w:uiPriority w:val="9"/>
    <w:rsid w:val="00E176D2"/>
    <w:rPr>
      <w:rFonts w:eastAsiaTheme="majorEastAsia" w:cstheme="majorBidi"/>
      <w:b/>
      <w:bCs/>
      <w:color w:val="0078A9" w:themeColor="accent1"/>
      <w:sz w:val="28"/>
      <w:szCs w:val="28"/>
    </w:rPr>
  </w:style>
  <w:style w:type="character" w:styleId="FollowedHyperlink">
    <w:name w:val="FollowedHyperlink"/>
    <w:basedOn w:val="DefaultParagraphFont"/>
    <w:uiPriority w:val="99"/>
    <w:semiHidden/>
    <w:unhideWhenUsed/>
    <w:rsid w:val="008B7E4A"/>
    <w:rPr>
      <w:color w:val="0074A3" w:themeColor="followedHyperlink"/>
      <w:u w:val="single"/>
    </w:rPr>
  </w:style>
  <w:style w:type="paragraph" w:styleId="Caption">
    <w:name w:val="caption"/>
    <w:basedOn w:val="ListParagraph"/>
    <w:next w:val="Normal"/>
    <w:uiPriority w:val="35"/>
    <w:unhideWhenUsed/>
    <w:qFormat/>
    <w:rsid w:val="00A90450"/>
    <w:rPr>
      <w:lang w:val="en"/>
    </w:rPr>
  </w:style>
  <w:style w:type="character" w:customStyle="1" w:styleId="Heading4Char">
    <w:name w:val="Heading 4 Char"/>
    <w:basedOn w:val="DefaultParagraphFont"/>
    <w:link w:val="Heading4"/>
    <w:uiPriority w:val="9"/>
    <w:rsid w:val="00E176D2"/>
    <w:rPr>
      <w:rFonts w:eastAsiaTheme="majorEastAsia" w:cstheme="majorBidi"/>
      <w:bCs/>
      <w:color w:val="0078A9" w:themeColor="accent1"/>
      <w:sz w:val="28"/>
      <w:szCs w:val="28"/>
    </w:rPr>
  </w:style>
  <w:style w:type="character" w:customStyle="1" w:styleId="Heading5Char">
    <w:name w:val="Heading 5 Char"/>
    <w:basedOn w:val="DefaultParagraphFont"/>
    <w:link w:val="Heading5"/>
    <w:uiPriority w:val="9"/>
    <w:rsid w:val="002E6028"/>
    <w:rPr>
      <w:rFonts w:asciiTheme="majorHAnsi" w:eastAsiaTheme="majorEastAsia" w:hAnsiTheme="majorHAnsi" w:cstheme="majorBidi"/>
      <w:color w:val="00597E" w:themeColor="accent1" w:themeShade="BF"/>
    </w:rPr>
  </w:style>
  <w:style w:type="paragraph" w:customStyle="1" w:styleId="NumberingNormalabc">
    <w:name w:val="Numbering Normal a b c"/>
    <w:basedOn w:val="NumberingNormal"/>
    <w:qFormat/>
    <w:rsid w:val="005F135C"/>
    <w:pPr>
      <w:numPr>
        <w:ilvl w:val="0"/>
        <w:numId w:val="4"/>
      </w:numPr>
      <w:ind w:left="924" w:hanging="357"/>
    </w:pPr>
    <w:rPr>
      <w:lang w:val="en"/>
    </w:rPr>
  </w:style>
  <w:style w:type="paragraph" w:customStyle="1" w:styleId="NumberingNormal">
    <w:name w:val="Numbering Normal"/>
    <w:basedOn w:val="Normal"/>
    <w:qFormat/>
    <w:rsid w:val="008704E9"/>
    <w:pPr>
      <w:numPr>
        <w:ilvl w:val="1"/>
        <w:numId w:val="3"/>
      </w:numPr>
      <w:tabs>
        <w:tab w:val="left" w:pos="567"/>
        <w:tab w:val="left" w:pos="1134"/>
        <w:tab w:val="left" w:pos="2268"/>
      </w:tabs>
    </w:pPr>
  </w:style>
  <w:style w:type="character" w:styleId="UnresolvedMention">
    <w:name w:val="Unresolved Mention"/>
    <w:basedOn w:val="DefaultParagraphFont"/>
    <w:uiPriority w:val="99"/>
    <w:semiHidden/>
    <w:unhideWhenUsed/>
    <w:rsid w:val="00E40FEF"/>
    <w:rPr>
      <w:color w:val="605E5C"/>
      <w:shd w:val="clear" w:color="auto" w:fill="E1DFDD"/>
    </w:rPr>
  </w:style>
  <w:style w:type="paragraph" w:customStyle="1" w:styleId="NumberingHeading2">
    <w:name w:val="Numbering Heading 2"/>
    <w:basedOn w:val="Heading2"/>
    <w:next w:val="Normal"/>
    <w:qFormat/>
    <w:rsid w:val="00DD6AA4"/>
    <w:pPr>
      <w:tabs>
        <w:tab w:val="left" w:pos="567"/>
      </w:tabs>
      <w:spacing w:after="240"/>
      <w:contextualSpacing/>
    </w:pPr>
    <w:rPr>
      <w:color w:val="0078A9" w:themeColor="accent5"/>
    </w:rPr>
  </w:style>
  <w:style w:type="character" w:customStyle="1" w:styleId="Heading6Char">
    <w:name w:val="Heading 6 Char"/>
    <w:basedOn w:val="DefaultParagraphFont"/>
    <w:link w:val="Heading6"/>
    <w:uiPriority w:val="9"/>
    <w:semiHidden/>
    <w:rsid w:val="00E130E2"/>
    <w:rPr>
      <w:rFonts w:asciiTheme="majorHAnsi" w:eastAsiaTheme="majorEastAsia" w:hAnsiTheme="majorHAnsi" w:cstheme="majorBidi"/>
      <w:color w:val="003B54" w:themeColor="accent1" w:themeShade="7F"/>
    </w:rPr>
  </w:style>
  <w:style w:type="character" w:customStyle="1" w:styleId="Heading7Char">
    <w:name w:val="Heading 7 Char"/>
    <w:basedOn w:val="DefaultParagraphFont"/>
    <w:link w:val="Heading7"/>
    <w:uiPriority w:val="9"/>
    <w:semiHidden/>
    <w:rsid w:val="00E130E2"/>
    <w:rPr>
      <w:rFonts w:asciiTheme="majorHAnsi" w:eastAsiaTheme="majorEastAsia" w:hAnsiTheme="majorHAnsi" w:cstheme="majorBidi"/>
      <w:i/>
      <w:iCs/>
      <w:color w:val="003B54" w:themeColor="accent1" w:themeShade="7F"/>
    </w:rPr>
  </w:style>
  <w:style w:type="character" w:customStyle="1" w:styleId="Heading8Char">
    <w:name w:val="Heading 8 Char"/>
    <w:basedOn w:val="DefaultParagraphFont"/>
    <w:link w:val="Heading8"/>
    <w:uiPriority w:val="9"/>
    <w:semiHidden/>
    <w:rsid w:val="00E130E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30E2"/>
    <w:rPr>
      <w:rFonts w:asciiTheme="majorHAnsi" w:eastAsiaTheme="majorEastAsia" w:hAnsiTheme="majorHAnsi" w:cstheme="majorBidi"/>
      <w:i/>
      <w:iCs/>
      <w:color w:val="272727" w:themeColor="text1" w:themeTint="D8"/>
      <w:sz w:val="21"/>
      <w:szCs w:val="21"/>
    </w:rPr>
  </w:style>
  <w:style w:type="numbering" w:styleId="111111">
    <w:name w:val="Outline List 2"/>
    <w:basedOn w:val="NoList"/>
    <w:uiPriority w:val="99"/>
    <w:semiHidden/>
    <w:unhideWhenUsed/>
    <w:rsid w:val="00192D38"/>
    <w:pPr>
      <w:numPr>
        <w:numId w:val="2"/>
      </w:numPr>
    </w:pPr>
  </w:style>
  <w:style w:type="character" w:customStyle="1" w:styleId="A2">
    <w:name w:val="A2"/>
    <w:uiPriority w:val="99"/>
    <w:rsid w:val="008F3A75"/>
    <w:rPr>
      <w:color w:val="000000"/>
      <w:sz w:val="22"/>
    </w:rPr>
  </w:style>
  <w:style w:type="character" w:customStyle="1" w:styleId="ui-provider">
    <w:name w:val="ui-provider"/>
    <w:basedOn w:val="DefaultParagraphFont"/>
    <w:rsid w:val="009B1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778682">
      <w:bodyDiv w:val="1"/>
      <w:marLeft w:val="0"/>
      <w:marRight w:val="0"/>
      <w:marTop w:val="0"/>
      <w:marBottom w:val="0"/>
      <w:divBdr>
        <w:top w:val="none" w:sz="0" w:space="0" w:color="auto"/>
        <w:left w:val="none" w:sz="0" w:space="0" w:color="auto"/>
        <w:bottom w:val="none" w:sz="0" w:space="0" w:color="auto"/>
        <w:right w:val="none" w:sz="0" w:space="0" w:color="auto"/>
      </w:divBdr>
    </w:div>
    <w:div w:id="1283463463">
      <w:bodyDiv w:val="1"/>
      <w:marLeft w:val="0"/>
      <w:marRight w:val="0"/>
      <w:marTop w:val="0"/>
      <w:marBottom w:val="0"/>
      <w:divBdr>
        <w:top w:val="none" w:sz="0" w:space="0" w:color="auto"/>
        <w:left w:val="none" w:sz="0" w:space="0" w:color="auto"/>
        <w:bottom w:val="none" w:sz="0" w:space="0" w:color="auto"/>
        <w:right w:val="none" w:sz="0" w:space="0" w:color="auto"/>
      </w:divBdr>
    </w:div>
    <w:div w:id="1439132339">
      <w:bodyDiv w:val="1"/>
      <w:marLeft w:val="0"/>
      <w:marRight w:val="0"/>
      <w:marTop w:val="0"/>
      <w:marBottom w:val="0"/>
      <w:divBdr>
        <w:top w:val="none" w:sz="0" w:space="0" w:color="auto"/>
        <w:left w:val="none" w:sz="0" w:space="0" w:color="auto"/>
        <w:bottom w:val="none" w:sz="0" w:space="0" w:color="auto"/>
        <w:right w:val="none" w:sz="0" w:space="0" w:color="auto"/>
      </w:divBdr>
    </w:div>
    <w:div w:id="199690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opertypoolplus.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Sefton (Sions)">
  <a:themeElements>
    <a:clrScheme name="Sefton">
      <a:dk1>
        <a:srgbClr val="000000"/>
      </a:dk1>
      <a:lt1>
        <a:srgbClr val="FFFFFF"/>
      </a:lt1>
      <a:dk2>
        <a:srgbClr val="44546A"/>
      </a:dk2>
      <a:lt2>
        <a:srgbClr val="E7E6E6"/>
      </a:lt2>
      <a:accent1>
        <a:srgbClr val="0078A9"/>
      </a:accent1>
      <a:accent2>
        <a:srgbClr val="9B5DA5"/>
      </a:accent2>
      <a:accent3>
        <a:srgbClr val="BED3E8"/>
      </a:accent3>
      <a:accent4>
        <a:srgbClr val="F15628"/>
      </a:accent4>
      <a:accent5>
        <a:srgbClr val="0078A9"/>
      </a:accent5>
      <a:accent6>
        <a:srgbClr val="88C540"/>
      </a:accent6>
      <a:hlink>
        <a:srgbClr val="00B5FF"/>
      </a:hlink>
      <a:folHlink>
        <a:srgbClr val="007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efton (Sions)" id="{340A593F-290D-334B-94C0-98B40E113BA8}" vid="{066CEF48-3C4E-A844-B520-891B36EA3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E4601151A8044083AB6A15E22062E5" ma:contentTypeVersion="20" ma:contentTypeDescription="Create a new document." ma:contentTypeScope="" ma:versionID="514a4e573ef99d52660fb868122348e0">
  <xsd:schema xmlns:xsd="http://www.w3.org/2001/XMLSchema" xmlns:xs="http://www.w3.org/2001/XMLSchema" xmlns:p="http://schemas.microsoft.com/office/2006/metadata/properties" xmlns:ns2="0d64b2eb-ab00-49ec-8537-f1fed2bbd3ef" xmlns:ns3="f9007de1-e208-4118-a2f5-08eb1ba905e1" targetNamespace="http://schemas.microsoft.com/office/2006/metadata/properties" ma:root="true" ma:fieldsID="b506840f505ebb5d1d3917a2ae438b39" ns2:_="" ns3:_="">
    <xsd:import namespace="0d64b2eb-ab00-49ec-8537-f1fed2bbd3ef"/>
    <xsd:import namespace="f9007de1-e208-4118-a2f5-08eb1ba905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est_x0020_column" minOccurs="0"/>
                <xsd:element ref="ns2:lcf76f155ced4ddcb4097134ff3c332f" minOccurs="0"/>
                <xsd:element ref="ns3:TaxCatchAll" minOccurs="0"/>
                <xsd:element ref="ns2:Dat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4b2eb-ab00-49ec-8537-f1fed2bbd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est_x0020_column" ma:index="20" nillable="true" ma:displayName="Test column" ma:internalName="Test_x0020_column">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981b50-d5ab-4795-b3e5-00dab7d18082}"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B07680-1BF4-DA4B-93B6-ADD388C84049}">
  <ds:schemaRefs>
    <ds:schemaRef ds:uri="http://schemas.openxmlformats.org/officeDocument/2006/bibliography"/>
  </ds:schemaRefs>
</ds:datastoreItem>
</file>

<file path=customXml/itemProps2.xml><?xml version="1.0" encoding="utf-8"?>
<ds:datastoreItem xmlns:ds="http://schemas.openxmlformats.org/officeDocument/2006/customXml" ds:itemID="{944FAED8-0CD7-407C-A4C0-B87F15529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4b2eb-ab00-49ec-8537-f1fed2bbd3ef"/>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F85E2E-3978-4DBD-9D03-388B9B3EEA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4167</Words>
  <Characters>23757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
  <LinksUpToDate>false</LinksUpToDate>
  <CharactersWithSpaces>27869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Microsoft Office User</dc:creator>
  <cp:keywords/>
  <dc:description/>
  <cp:lastModifiedBy>Graham Parry</cp:lastModifiedBy>
  <cp:revision>2</cp:revision>
  <cp:lastPrinted>2020-12-03T13:52:00Z</cp:lastPrinted>
  <dcterms:created xsi:type="dcterms:W3CDTF">2024-10-02T14:00:00Z</dcterms:created>
  <dcterms:modified xsi:type="dcterms:W3CDTF">2024-10-02T14:00:00Z</dcterms:modified>
  <cp:category/>
</cp:coreProperties>
</file>